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5DCC6" w14:textId="78E9010C" w:rsidR="00A11E77" w:rsidRDefault="001E4996" w:rsidP="001E4996">
      <w:pPr>
        <w:spacing w:line="360" w:lineRule="auto"/>
        <w:ind w:left="1440" w:hanging="1440"/>
        <w:contextualSpacing/>
        <w:rPr>
          <w:rFonts w:ascii="Century Gothic" w:hAnsi="Century Gothic"/>
          <w:sz w:val="24"/>
          <w:szCs w:val="24"/>
        </w:rPr>
      </w:pPr>
      <w:r>
        <w:rPr>
          <w:rFonts w:ascii="Century Gothic" w:hAnsi="Century Gothic"/>
          <w:sz w:val="24"/>
          <w:szCs w:val="24"/>
        </w:rPr>
        <w:t>SUMMARY</w:t>
      </w:r>
      <w:proofErr w:type="gramStart"/>
      <w:r>
        <w:rPr>
          <w:rFonts w:ascii="Century Gothic" w:hAnsi="Century Gothic"/>
          <w:sz w:val="24"/>
          <w:szCs w:val="24"/>
        </w:rPr>
        <w:t xml:space="preserve">: </w:t>
      </w:r>
      <w:r>
        <w:rPr>
          <w:rFonts w:ascii="Century Gothic" w:hAnsi="Century Gothic"/>
          <w:sz w:val="24"/>
          <w:szCs w:val="24"/>
        </w:rPr>
        <w:tab/>
      </w:r>
      <w:r w:rsidR="00A11E77" w:rsidRPr="001E4996">
        <w:rPr>
          <w:rFonts w:ascii="Century Gothic" w:hAnsi="Century Gothic"/>
          <w:i/>
          <w:iCs/>
          <w:sz w:val="24"/>
          <w:szCs w:val="24"/>
        </w:rPr>
        <w:t>Van</w:t>
      </w:r>
      <w:proofErr w:type="gramEnd"/>
      <w:r w:rsidR="00A11E77" w:rsidRPr="001E4996">
        <w:rPr>
          <w:rFonts w:ascii="Century Gothic" w:hAnsi="Century Gothic"/>
          <w:i/>
          <w:iCs/>
          <w:sz w:val="24"/>
          <w:szCs w:val="24"/>
        </w:rPr>
        <w:t xml:space="preserve"> Wyk </w:t>
      </w:r>
      <w:r w:rsidRPr="001E4996">
        <w:rPr>
          <w:rFonts w:ascii="Century Gothic" w:hAnsi="Century Gothic"/>
          <w:i/>
          <w:iCs/>
          <w:sz w:val="24"/>
          <w:szCs w:val="24"/>
        </w:rPr>
        <w:t xml:space="preserve">and others </w:t>
      </w:r>
      <w:r w:rsidR="00A11E77" w:rsidRPr="001E4996">
        <w:rPr>
          <w:rFonts w:ascii="Century Gothic" w:hAnsi="Century Gothic"/>
          <w:i/>
          <w:iCs/>
          <w:sz w:val="24"/>
          <w:szCs w:val="24"/>
        </w:rPr>
        <w:t xml:space="preserve">v Minister of Employment and </w:t>
      </w:r>
      <w:proofErr w:type="spellStart"/>
      <w:r w:rsidR="00A11E77" w:rsidRPr="001E4996">
        <w:rPr>
          <w:rFonts w:ascii="Century Gothic" w:hAnsi="Century Gothic"/>
          <w:i/>
          <w:iCs/>
          <w:sz w:val="24"/>
          <w:szCs w:val="24"/>
        </w:rPr>
        <w:t>Labour</w:t>
      </w:r>
      <w:proofErr w:type="spellEnd"/>
      <w:r w:rsidR="00A11E77">
        <w:rPr>
          <w:rFonts w:ascii="Century Gothic" w:hAnsi="Century Gothic"/>
          <w:sz w:val="24"/>
          <w:szCs w:val="24"/>
        </w:rPr>
        <w:t xml:space="preserve"> </w:t>
      </w:r>
      <w:r w:rsidRPr="001E4996">
        <w:rPr>
          <w:rFonts w:ascii="Century Gothic" w:hAnsi="Century Gothic"/>
          <w:sz w:val="24"/>
          <w:szCs w:val="24"/>
        </w:rPr>
        <w:t>[2025] ZACC 20</w:t>
      </w:r>
      <w:r>
        <w:rPr>
          <w:rFonts w:ascii="Century Gothic" w:hAnsi="Century Gothic"/>
          <w:sz w:val="24"/>
          <w:szCs w:val="24"/>
        </w:rPr>
        <w:t xml:space="preserve"> (3 October 2025) </w:t>
      </w:r>
    </w:p>
    <w:p w14:paraId="7CB7706F" w14:textId="77777777" w:rsidR="001E4996" w:rsidRDefault="001E4996" w:rsidP="001E4996">
      <w:pPr>
        <w:spacing w:line="360" w:lineRule="auto"/>
        <w:ind w:left="1440" w:hanging="1440"/>
        <w:contextualSpacing/>
        <w:rPr>
          <w:rFonts w:ascii="Century Gothic" w:hAnsi="Century Gothic"/>
          <w:sz w:val="24"/>
          <w:szCs w:val="24"/>
        </w:rPr>
      </w:pPr>
    </w:p>
    <w:p w14:paraId="43C4C0EF" w14:textId="75C611BC" w:rsidR="001E4996" w:rsidRPr="001E4996" w:rsidRDefault="001E4996" w:rsidP="001E4996">
      <w:pPr>
        <w:pStyle w:val="ListParagraph"/>
        <w:numPr>
          <w:ilvl w:val="0"/>
          <w:numId w:val="1"/>
        </w:numPr>
        <w:spacing w:line="360" w:lineRule="auto"/>
        <w:ind w:hanging="720"/>
        <w:rPr>
          <w:rFonts w:ascii="Century Gothic" w:hAnsi="Century Gothic"/>
          <w:b/>
          <w:bCs/>
          <w:sz w:val="24"/>
          <w:szCs w:val="24"/>
        </w:rPr>
      </w:pPr>
      <w:r w:rsidRPr="001E4996">
        <w:rPr>
          <w:rFonts w:ascii="Century Gothic" w:hAnsi="Century Gothic"/>
          <w:b/>
          <w:bCs/>
          <w:sz w:val="24"/>
          <w:szCs w:val="24"/>
        </w:rPr>
        <w:t xml:space="preserve">Introduction </w:t>
      </w:r>
    </w:p>
    <w:p w14:paraId="75DD5F01" w14:textId="77777777" w:rsidR="00A11E77" w:rsidRDefault="00A11E77" w:rsidP="00A11E77">
      <w:pPr>
        <w:spacing w:line="360" w:lineRule="auto"/>
        <w:contextualSpacing/>
        <w:rPr>
          <w:rFonts w:ascii="Century Gothic" w:hAnsi="Century Gothic"/>
          <w:sz w:val="24"/>
          <w:szCs w:val="24"/>
        </w:rPr>
      </w:pPr>
    </w:p>
    <w:p w14:paraId="7E2065B8" w14:textId="6E5C2A95" w:rsidR="00F27D58" w:rsidRDefault="00F27D58" w:rsidP="00A11E77">
      <w:pPr>
        <w:spacing w:line="360" w:lineRule="auto"/>
        <w:contextualSpacing/>
        <w:rPr>
          <w:rFonts w:ascii="Century Gothic" w:eastAsia="Calibri" w:hAnsi="Century Gothic" w:cs="Times New Roman"/>
          <w:sz w:val="24"/>
          <w:szCs w:val="24"/>
        </w:rPr>
      </w:pPr>
      <w:r w:rsidRPr="00F27D58">
        <w:rPr>
          <w:rFonts w:ascii="Century Gothic" w:eastAsia="Calibri" w:hAnsi="Century Gothic" w:cs="Times New Roman"/>
          <w:sz w:val="24"/>
          <w:szCs w:val="24"/>
        </w:rPr>
        <w:t xml:space="preserve">In this matter, the issue before the court was the constitutionality of Sections 25, 25A, 25B, and 25C of the Basic Condition of Employment Act 75 of </w:t>
      </w:r>
      <w:proofErr w:type="gramStart"/>
      <w:r w:rsidRPr="00F27D58">
        <w:rPr>
          <w:rFonts w:ascii="Century Gothic" w:eastAsia="Calibri" w:hAnsi="Century Gothic" w:cs="Times New Roman"/>
          <w:sz w:val="24"/>
          <w:szCs w:val="24"/>
        </w:rPr>
        <w:t>1997 (‘</w:t>
      </w:r>
      <w:proofErr w:type="gramEnd"/>
      <w:r w:rsidRPr="00F27D58">
        <w:rPr>
          <w:rFonts w:ascii="Century Gothic" w:eastAsia="Calibri" w:hAnsi="Century Gothic" w:cs="Times New Roman"/>
          <w:sz w:val="24"/>
          <w:szCs w:val="24"/>
        </w:rPr>
        <w:t>the BCEA’) read together with Unemployment Insurance Fund Act 63 of 2001.</w:t>
      </w:r>
    </w:p>
    <w:p w14:paraId="15D270DB" w14:textId="77777777" w:rsidR="00F27D58" w:rsidRDefault="00F27D58" w:rsidP="00A11E77">
      <w:pPr>
        <w:spacing w:line="360" w:lineRule="auto"/>
        <w:contextualSpacing/>
        <w:rPr>
          <w:rFonts w:ascii="Century Gothic" w:eastAsia="Calibri" w:hAnsi="Century Gothic" w:cs="Times New Roman"/>
          <w:sz w:val="24"/>
          <w:szCs w:val="24"/>
        </w:rPr>
      </w:pPr>
    </w:p>
    <w:p w14:paraId="548A4827" w14:textId="77777777" w:rsidR="00F27D58" w:rsidRPr="00F27D58" w:rsidRDefault="00F27D58" w:rsidP="00F27D58">
      <w:pPr>
        <w:spacing w:line="360" w:lineRule="auto"/>
        <w:contextualSpacing/>
        <w:rPr>
          <w:rFonts w:ascii="Century Gothic" w:hAnsi="Century Gothic"/>
          <w:sz w:val="24"/>
          <w:szCs w:val="24"/>
        </w:rPr>
      </w:pPr>
      <w:r w:rsidRPr="00F27D58">
        <w:rPr>
          <w:rFonts w:ascii="Century Gothic" w:hAnsi="Century Gothic"/>
          <w:sz w:val="24"/>
          <w:szCs w:val="24"/>
        </w:rPr>
        <w:t>In terms of section 25(1) of the BCEA, birth mothers are entitled to four months’ maternity leave. Section 25</w:t>
      </w:r>
      <w:proofErr w:type="gramStart"/>
      <w:r w:rsidRPr="00F27D58">
        <w:rPr>
          <w:rFonts w:ascii="Century Gothic" w:hAnsi="Century Gothic"/>
          <w:sz w:val="24"/>
          <w:szCs w:val="24"/>
        </w:rPr>
        <w:t>A(</w:t>
      </w:r>
      <w:proofErr w:type="gramEnd"/>
      <w:r w:rsidRPr="00F27D58">
        <w:rPr>
          <w:rFonts w:ascii="Century Gothic" w:hAnsi="Century Gothic"/>
          <w:sz w:val="24"/>
          <w:szCs w:val="24"/>
        </w:rPr>
        <w:t xml:space="preserve">1) entitles fathers to 10 days’ parental leave.  The provision itself is gender-neutral but is relied upon by fathers to take parental leave when becoming a parent. </w:t>
      </w:r>
    </w:p>
    <w:p w14:paraId="57FEF548" w14:textId="77777777" w:rsidR="00F27D58" w:rsidRPr="00F27D58" w:rsidRDefault="00F27D58" w:rsidP="00F27D58">
      <w:pPr>
        <w:spacing w:line="360" w:lineRule="auto"/>
        <w:contextualSpacing/>
        <w:rPr>
          <w:rFonts w:ascii="Century Gothic" w:hAnsi="Century Gothic"/>
          <w:sz w:val="24"/>
          <w:szCs w:val="24"/>
        </w:rPr>
      </w:pPr>
    </w:p>
    <w:p w14:paraId="6B14A152" w14:textId="77777777" w:rsidR="00F27D58" w:rsidRPr="00F27D58" w:rsidRDefault="00F27D58" w:rsidP="00F27D58">
      <w:pPr>
        <w:spacing w:line="360" w:lineRule="auto"/>
        <w:contextualSpacing/>
        <w:rPr>
          <w:rFonts w:ascii="Century Gothic" w:hAnsi="Century Gothic"/>
          <w:sz w:val="24"/>
          <w:szCs w:val="24"/>
        </w:rPr>
      </w:pPr>
      <w:r w:rsidRPr="00F27D58">
        <w:rPr>
          <w:rFonts w:ascii="Century Gothic" w:hAnsi="Century Gothic"/>
          <w:sz w:val="24"/>
          <w:szCs w:val="24"/>
        </w:rPr>
        <w:t xml:space="preserve">Adoptive parents, regardless of their sex or gender, are entitled to ten weeks’ adoptive leave in terms of section 25B. Finally, employees who become parents by way of surrogacy are entitled to ten </w:t>
      </w:r>
      <w:proofErr w:type="gramStart"/>
      <w:r w:rsidRPr="00F27D58">
        <w:rPr>
          <w:rFonts w:ascii="Century Gothic" w:hAnsi="Century Gothic"/>
          <w:sz w:val="24"/>
          <w:szCs w:val="24"/>
        </w:rPr>
        <w:t>weeks’ ‘</w:t>
      </w:r>
      <w:proofErr w:type="gramEnd"/>
      <w:r w:rsidRPr="00F27D58">
        <w:rPr>
          <w:rFonts w:ascii="Century Gothic" w:hAnsi="Century Gothic"/>
          <w:sz w:val="24"/>
          <w:szCs w:val="24"/>
        </w:rPr>
        <w:t xml:space="preserve">commissioning parental leave’ by virtue of section 25C. </w:t>
      </w:r>
    </w:p>
    <w:p w14:paraId="117DC2A6" w14:textId="77777777" w:rsidR="00F27D58" w:rsidRPr="00F27D58" w:rsidRDefault="00F27D58" w:rsidP="00F27D58">
      <w:pPr>
        <w:spacing w:line="360" w:lineRule="auto"/>
        <w:contextualSpacing/>
        <w:rPr>
          <w:rFonts w:ascii="Century Gothic" w:hAnsi="Century Gothic"/>
          <w:sz w:val="24"/>
          <w:szCs w:val="24"/>
        </w:rPr>
      </w:pPr>
    </w:p>
    <w:p w14:paraId="4A64F5C5" w14:textId="20A11786" w:rsidR="00F27D58" w:rsidRDefault="00F27D58" w:rsidP="00F27D58">
      <w:pPr>
        <w:spacing w:line="360" w:lineRule="auto"/>
        <w:contextualSpacing/>
        <w:rPr>
          <w:rFonts w:ascii="Century Gothic" w:hAnsi="Century Gothic"/>
          <w:sz w:val="24"/>
          <w:szCs w:val="24"/>
        </w:rPr>
      </w:pPr>
      <w:r w:rsidRPr="00F27D58">
        <w:rPr>
          <w:rFonts w:ascii="Century Gothic" w:hAnsi="Century Gothic"/>
          <w:sz w:val="24"/>
          <w:szCs w:val="24"/>
        </w:rPr>
        <w:t>The effect of these sections is that the BCEA entitles birth mothers to a much longer period of leave than other parents such as fathers, adoptive parents, or those who become parents via surrogacy.</w:t>
      </w:r>
    </w:p>
    <w:p w14:paraId="0B6ECCB2" w14:textId="77777777" w:rsidR="00F27D58" w:rsidRDefault="00F27D58" w:rsidP="00F27D58">
      <w:pPr>
        <w:spacing w:line="360" w:lineRule="auto"/>
        <w:contextualSpacing/>
        <w:rPr>
          <w:rFonts w:ascii="Century Gothic" w:hAnsi="Century Gothic"/>
          <w:sz w:val="24"/>
          <w:szCs w:val="24"/>
        </w:rPr>
      </w:pPr>
    </w:p>
    <w:p w14:paraId="4B0964F3" w14:textId="15E2EFAE" w:rsidR="00F27D58" w:rsidRPr="0042317D" w:rsidRDefault="0042317D" w:rsidP="0042317D">
      <w:pPr>
        <w:pStyle w:val="ListParagraph"/>
        <w:numPr>
          <w:ilvl w:val="0"/>
          <w:numId w:val="1"/>
        </w:numPr>
        <w:spacing w:line="360" w:lineRule="auto"/>
        <w:ind w:hanging="720"/>
        <w:rPr>
          <w:rFonts w:ascii="Century Gothic" w:hAnsi="Century Gothic"/>
          <w:b/>
          <w:bCs/>
          <w:sz w:val="24"/>
          <w:szCs w:val="24"/>
        </w:rPr>
      </w:pPr>
      <w:r>
        <w:rPr>
          <w:rFonts w:ascii="Century Gothic" w:hAnsi="Century Gothic"/>
          <w:b/>
          <w:bCs/>
          <w:sz w:val="24"/>
          <w:szCs w:val="24"/>
        </w:rPr>
        <w:t xml:space="preserve">Proceedings at </w:t>
      </w:r>
      <w:r w:rsidR="001E4996" w:rsidRPr="0042317D">
        <w:rPr>
          <w:rFonts w:ascii="Century Gothic" w:hAnsi="Century Gothic"/>
          <w:b/>
          <w:bCs/>
          <w:sz w:val="24"/>
          <w:szCs w:val="24"/>
        </w:rPr>
        <w:t xml:space="preserve">the </w:t>
      </w:r>
      <w:r w:rsidR="00F27D58" w:rsidRPr="0042317D">
        <w:rPr>
          <w:rFonts w:ascii="Century Gothic" w:hAnsi="Century Gothic"/>
          <w:b/>
          <w:bCs/>
          <w:sz w:val="24"/>
          <w:szCs w:val="24"/>
        </w:rPr>
        <w:t>High Court</w:t>
      </w:r>
    </w:p>
    <w:p w14:paraId="354B65FC" w14:textId="77777777" w:rsidR="00F27D58" w:rsidRDefault="00F27D58" w:rsidP="00F27D58">
      <w:pPr>
        <w:spacing w:line="360" w:lineRule="auto"/>
        <w:contextualSpacing/>
        <w:rPr>
          <w:rFonts w:ascii="Century Gothic" w:hAnsi="Century Gothic"/>
          <w:sz w:val="24"/>
          <w:szCs w:val="24"/>
        </w:rPr>
      </w:pPr>
    </w:p>
    <w:p w14:paraId="6499F8B1" w14:textId="28254F08" w:rsidR="00F27D58" w:rsidRDefault="0042317D" w:rsidP="00F27D58">
      <w:pPr>
        <w:spacing w:line="360" w:lineRule="auto"/>
        <w:contextualSpacing/>
        <w:rPr>
          <w:rFonts w:ascii="Century Gothic" w:hAnsi="Century Gothic"/>
          <w:sz w:val="24"/>
          <w:szCs w:val="24"/>
        </w:rPr>
      </w:pPr>
      <w:r>
        <w:rPr>
          <w:rFonts w:ascii="Century Gothic" w:hAnsi="Century Gothic"/>
          <w:sz w:val="24"/>
          <w:szCs w:val="24"/>
        </w:rPr>
        <w:t xml:space="preserve">Sections 25 and 25A </w:t>
      </w:r>
      <w:r w:rsidR="001E4996">
        <w:rPr>
          <w:rFonts w:ascii="Century Gothic" w:hAnsi="Century Gothic"/>
          <w:sz w:val="24"/>
          <w:szCs w:val="24"/>
        </w:rPr>
        <w:t xml:space="preserve">of the BCEA and </w:t>
      </w:r>
      <w:r>
        <w:rPr>
          <w:rFonts w:ascii="Century Gothic" w:hAnsi="Century Gothic"/>
          <w:sz w:val="24"/>
          <w:szCs w:val="24"/>
        </w:rPr>
        <w:t xml:space="preserve">related provisions of the </w:t>
      </w:r>
      <w:r w:rsidR="001E4996">
        <w:rPr>
          <w:rFonts w:ascii="Century Gothic" w:hAnsi="Century Gothic"/>
          <w:sz w:val="24"/>
          <w:szCs w:val="24"/>
        </w:rPr>
        <w:t xml:space="preserve">Unemployment Insurance Fund set out above, had been declared unconstitutional by the high court </w:t>
      </w:r>
      <w:proofErr w:type="gramStart"/>
      <w:r w:rsidR="001E4996">
        <w:rPr>
          <w:rFonts w:ascii="Century Gothic" w:hAnsi="Century Gothic"/>
          <w:sz w:val="24"/>
          <w:szCs w:val="24"/>
        </w:rPr>
        <w:t xml:space="preserve">in  </w:t>
      </w:r>
      <w:r w:rsidRPr="0042317D">
        <w:rPr>
          <w:rFonts w:ascii="Century Gothic" w:hAnsi="Century Gothic"/>
          <w:i/>
          <w:iCs/>
          <w:sz w:val="24"/>
          <w:szCs w:val="24"/>
        </w:rPr>
        <w:t>Van</w:t>
      </w:r>
      <w:proofErr w:type="gramEnd"/>
      <w:r w:rsidRPr="0042317D">
        <w:rPr>
          <w:rFonts w:ascii="Century Gothic" w:hAnsi="Century Gothic"/>
          <w:i/>
          <w:iCs/>
          <w:sz w:val="24"/>
          <w:szCs w:val="24"/>
        </w:rPr>
        <w:t xml:space="preserve"> Wyk and others v Minister of Employment and </w:t>
      </w:r>
      <w:proofErr w:type="spellStart"/>
      <w:r w:rsidRPr="0042317D">
        <w:rPr>
          <w:rFonts w:ascii="Century Gothic" w:hAnsi="Century Gothic"/>
          <w:i/>
          <w:iCs/>
          <w:sz w:val="24"/>
          <w:szCs w:val="24"/>
        </w:rPr>
        <w:t>Labour</w:t>
      </w:r>
      <w:proofErr w:type="spellEnd"/>
      <w:r w:rsidRPr="0042317D">
        <w:rPr>
          <w:rFonts w:ascii="Century Gothic" w:hAnsi="Century Gothic"/>
          <w:sz w:val="24"/>
          <w:szCs w:val="24"/>
        </w:rPr>
        <w:t xml:space="preserve"> ZAGPJHC </w:t>
      </w:r>
      <w:r w:rsidRPr="0042317D">
        <w:rPr>
          <w:rFonts w:ascii="Century Gothic" w:hAnsi="Century Gothic"/>
          <w:sz w:val="24"/>
          <w:szCs w:val="24"/>
        </w:rPr>
        <w:lastRenderedPageBreak/>
        <w:t xml:space="preserve">1213 (25 October 2023). </w:t>
      </w:r>
      <w:r>
        <w:rPr>
          <w:rFonts w:ascii="Century Gothic" w:hAnsi="Century Gothic"/>
          <w:sz w:val="24"/>
          <w:szCs w:val="24"/>
        </w:rPr>
        <w:t xml:space="preserve">The High Court had found that upon </w:t>
      </w:r>
      <w:r w:rsidR="00F27D58" w:rsidRPr="00F27D58">
        <w:rPr>
          <w:rFonts w:ascii="Century Gothic" w:hAnsi="Century Gothic"/>
          <w:sz w:val="24"/>
          <w:szCs w:val="24"/>
        </w:rPr>
        <w:t>assess</w:t>
      </w:r>
      <w:r>
        <w:rPr>
          <w:rFonts w:ascii="Century Gothic" w:hAnsi="Century Gothic"/>
          <w:sz w:val="24"/>
          <w:szCs w:val="24"/>
        </w:rPr>
        <w:t xml:space="preserve">ment of </w:t>
      </w:r>
      <w:r w:rsidR="00F27D58" w:rsidRPr="00F27D58">
        <w:rPr>
          <w:rFonts w:ascii="Century Gothic" w:hAnsi="Century Gothic"/>
          <w:sz w:val="24"/>
          <w:szCs w:val="24"/>
        </w:rPr>
        <w:t>the policy choices underlying the</w:t>
      </w:r>
      <w:r>
        <w:rPr>
          <w:rFonts w:ascii="Century Gothic" w:hAnsi="Century Gothic"/>
          <w:sz w:val="24"/>
          <w:szCs w:val="24"/>
        </w:rPr>
        <w:t>se</w:t>
      </w:r>
      <w:r w:rsidR="00F27D58" w:rsidRPr="00F27D58">
        <w:rPr>
          <w:rFonts w:ascii="Century Gothic" w:hAnsi="Century Gothic"/>
          <w:sz w:val="24"/>
          <w:szCs w:val="24"/>
        </w:rPr>
        <w:t xml:space="preserve"> provisions of the BCEA under attack, the issue that these provisions addressed was not the physiological consequences of having given birth, but rather the facilitation of child nurturing</w:t>
      </w:r>
    </w:p>
    <w:p w14:paraId="1CB08488" w14:textId="77777777" w:rsidR="00F27D58" w:rsidRDefault="00F27D58" w:rsidP="00F27D58">
      <w:pPr>
        <w:spacing w:line="360" w:lineRule="auto"/>
        <w:contextualSpacing/>
        <w:rPr>
          <w:rFonts w:ascii="Century Gothic" w:hAnsi="Century Gothic"/>
          <w:sz w:val="24"/>
          <w:szCs w:val="24"/>
        </w:rPr>
      </w:pPr>
    </w:p>
    <w:p w14:paraId="37F0C154" w14:textId="5A840D50" w:rsidR="00F27D58" w:rsidRDefault="00F27D58" w:rsidP="00F27D58">
      <w:pPr>
        <w:spacing w:line="360" w:lineRule="auto"/>
        <w:contextualSpacing/>
        <w:rPr>
          <w:rFonts w:ascii="Century Gothic" w:hAnsi="Century Gothic"/>
          <w:sz w:val="24"/>
          <w:szCs w:val="24"/>
        </w:rPr>
      </w:pPr>
      <w:r w:rsidRPr="00F27D58">
        <w:rPr>
          <w:rFonts w:ascii="Century Gothic" w:hAnsi="Century Gothic"/>
          <w:sz w:val="24"/>
          <w:szCs w:val="24"/>
        </w:rPr>
        <w:t xml:space="preserve">Furthermore, the distinction between mothers and fathers spoke to a mindset that regarded fathers’ role in early parenting as marginal. At the same time, this also unfairly </w:t>
      </w:r>
      <w:proofErr w:type="gramStart"/>
      <w:r w:rsidRPr="00F27D58">
        <w:rPr>
          <w:rFonts w:ascii="Century Gothic" w:hAnsi="Century Gothic"/>
          <w:sz w:val="24"/>
          <w:szCs w:val="24"/>
        </w:rPr>
        <w:t>burdened</w:t>
      </w:r>
      <w:proofErr w:type="gramEnd"/>
      <w:r w:rsidRPr="00F27D58">
        <w:rPr>
          <w:rFonts w:ascii="Century Gothic" w:hAnsi="Century Gothic"/>
          <w:sz w:val="24"/>
          <w:szCs w:val="24"/>
        </w:rPr>
        <w:t xml:space="preserve"> mothers with the principal care-giver role. Parental roles, however, should be decided between the parents themselves, not by the legislature. This was therefore unfair discrimination (based on gender) and an infringement of section 9(3).</w:t>
      </w:r>
    </w:p>
    <w:p w14:paraId="65883F5B" w14:textId="77777777" w:rsidR="00F27D58" w:rsidRDefault="00F27D58" w:rsidP="00F27D58">
      <w:pPr>
        <w:spacing w:line="360" w:lineRule="auto"/>
        <w:contextualSpacing/>
        <w:rPr>
          <w:rFonts w:ascii="Century Gothic" w:hAnsi="Century Gothic"/>
          <w:sz w:val="24"/>
          <w:szCs w:val="24"/>
        </w:rPr>
      </w:pPr>
    </w:p>
    <w:p w14:paraId="3370582F" w14:textId="6C8D795A" w:rsidR="00F27D58" w:rsidRDefault="0042317D" w:rsidP="00F27D58">
      <w:pPr>
        <w:spacing w:line="360" w:lineRule="auto"/>
        <w:contextualSpacing/>
        <w:rPr>
          <w:rFonts w:ascii="Century Gothic" w:hAnsi="Century Gothic"/>
          <w:sz w:val="24"/>
          <w:szCs w:val="24"/>
        </w:rPr>
      </w:pPr>
      <w:r>
        <w:rPr>
          <w:rFonts w:ascii="Century Gothic" w:hAnsi="Century Gothic"/>
          <w:sz w:val="24"/>
          <w:szCs w:val="24"/>
        </w:rPr>
        <w:t xml:space="preserve">However, in regard to section 25B, dealing with adoptive leave, and specifically </w:t>
      </w:r>
      <w:r w:rsidR="00F27D58">
        <w:rPr>
          <w:rFonts w:ascii="Century Gothic" w:hAnsi="Century Gothic"/>
          <w:sz w:val="24"/>
          <w:szCs w:val="24"/>
        </w:rPr>
        <w:t xml:space="preserve"> the two-year cap on </w:t>
      </w:r>
      <w:r>
        <w:rPr>
          <w:rFonts w:ascii="Century Gothic" w:hAnsi="Century Gothic"/>
          <w:sz w:val="24"/>
          <w:szCs w:val="24"/>
        </w:rPr>
        <w:t xml:space="preserve">the age of the </w:t>
      </w:r>
      <w:r w:rsidR="00F27D58">
        <w:rPr>
          <w:rFonts w:ascii="Century Gothic" w:hAnsi="Century Gothic"/>
          <w:sz w:val="24"/>
          <w:szCs w:val="24"/>
        </w:rPr>
        <w:t xml:space="preserve">adoptive </w:t>
      </w:r>
      <w:r>
        <w:rPr>
          <w:rFonts w:ascii="Century Gothic" w:hAnsi="Century Gothic"/>
          <w:sz w:val="24"/>
          <w:szCs w:val="24"/>
        </w:rPr>
        <w:t xml:space="preserve">child, the High Court had found this to be </w:t>
      </w:r>
      <w:r w:rsidR="00F27D58" w:rsidRPr="00F27D58">
        <w:rPr>
          <w:rFonts w:ascii="Century Gothic" w:hAnsi="Century Gothic"/>
          <w:sz w:val="24"/>
          <w:szCs w:val="24"/>
        </w:rPr>
        <w:t>rational</w:t>
      </w:r>
      <w:r>
        <w:rPr>
          <w:rFonts w:ascii="Century Gothic" w:hAnsi="Century Gothic"/>
          <w:sz w:val="24"/>
          <w:szCs w:val="24"/>
        </w:rPr>
        <w:t xml:space="preserve">. It </w:t>
      </w:r>
      <w:proofErr w:type="gramStart"/>
      <w:r>
        <w:rPr>
          <w:rFonts w:ascii="Century Gothic" w:hAnsi="Century Gothic"/>
          <w:sz w:val="24"/>
          <w:szCs w:val="24"/>
        </w:rPr>
        <w:t>reasoned</w:t>
      </w:r>
      <w:proofErr w:type="gramEnd"/>
      <w:r>
        <w:rPr>
          <w:rFonts w:ascii="Century Gothic" w:hAnsi="Century Gothic"/>
          <w:sz w:val="24"/>
          <w:szCs w:val="24"/>
        </w:rPr>
        <w:t xml:space="preserve"> </w:t>
      </w:r>
      <w:proofErr w:type="gramStart"/>
      <w:r>
        <w:rPr>
          <w:rFonts w:ascii="Century Gothic" w:hAnsi="Century Gothic"/>
          <w:sz w:val="24"/>
          <w:szCs w:val="24"/>
        </w:rPr>
        <w:t xml:space="preserve">that </w:t>
      </w:r>
      <w:r w:rsidR="00F27D58" w:rsidRPr="00F27D58">
        <w:rPr>
          <w:rFonts w:ascii="Century Gothic" w:hAnsi="Century Gothic"/>
          <w:sz w:val="24"/>
          <w:szCs w:val="24"/>
        </w:rPr>
        <w:t>where</w:t>
      </w:r>
      <w:proofErr w:type="gramEnd"/>
      <w:r w:rsidR="00F27D58" w:rsidRPr="00F27D58">
        <w:rPr>
          <w:rFonts w:ascii="Century Gothic" w:hAnsi="Century Gothic"/>
          <w:sz w:val="24"/>
          <w:szCs w:val="24"/>
        </w:rPr>
        <w:t xml:space="preserve"> the granting of a benefit is underpinned by policy choices relating specifically to the child nurturing of new-born children (regardless of whether by birth or adoption), extending this benefit to parents of children who were not new-born deviated from the underlying policy choice.</w:t>
      </w:r>
    </w:p>
    <w:p w14:paraId="02CC810C" w14:textId="77777777" w:rsidR="00F27D58" w:rsidRDefault="00F27D58" w:rsidP="00F27D58">
      <w:pPr>
        <w:spacing w:line="360" w:lineRule="auto"/>
        <w:contextualSpacing/>
        <w:rPr>
          <w:rFonts w:ascii="Century Gothic" w:hAnsi="Century Gothic"/>
          <w:sz w:val="24"/>
          <w:szCs w:val="24"/>
        </w:rPr>
      </w:pPr>
    </w:p>
    <w:p w14:paraId="113CEF79" w14:textId="5C7B74D5" w:rsidR="00F27D58" w:rsidRDefault="00F27D58" w:rsidP="00F27D58">
      <w:pPr>
        <w:spacing w:line="360" w:lineRule="auto"/>
        <w:contextualSpacing/>
        <w:rPr>
          <w:rFonts w:ascii="Century Gothic" w:hAnsi="Century Gothic"/>
          <w:sz w:val="24"/>
          <w:szCs w:val="24"/>
        </w:rPr>
      </w:pPr>
      <w:r w:rsidRPr="00F27D58">
        <w:rPr>
          <w:rFonts w:ascii="Century Gothic" w:hAnsi="Century Gothic"/>
          <w:sz w:val="24"/>
          <w:szCs w:val="24"/>
        </w:rPr>
        <w:t xml:space="preserve">The court therefore declared </w:t>
      </w:r>
      <w:r w:rsidR="0042317D">
        <w:rPr>
          <w:rFonts w:ascii="Century Gothic" w:hAnsi="Century Gothic"/>
          <w:sz w:val="24"/>
          <w:szCs w:val="24"/>
        </w:rPr>
        <w:t xml:space="preserve">the relevant provisions of the </w:t>
      </w:r>
      <w:r w:rsidRPr="00F27D58">
        <w:rPr>
          <w:rFonts w:ascii="Century Gothic" w:hAnsi="Century Gothic"/>
          <w:sz w:val="24"/>
          <w:szCs w:val="24"/>
        </w:rPr>
        <w:t>BCEA to be unconstitutional in that they are irrational and unfairly discriminate between mothers and fathers, as well as between sets of parents based on whether their children were born of a mother, conceived by surrogacy, or adopted</w:t>
      </w:r>
      <w:r w:rsidR="0042317D">
        <w:rPr>
          <w:rFonts w:ascii="Century Gothic" w:hAnsi="Century Gothic"/>
          <w:sz w:val="24"/>
          <w:szCs w:val="24"/>
        </w:rPr>
        <w:t xml:space="preserve">. However, it did not set aside the provisions setting the age-cap. </w:t>
      </w:r>
    </w:p>
    <w:p w14:paraId="0B164B18" w14:textId="77777777" w:rsidR="00F27D58" w:rsidRDefault="00F27D58" w:rsidP="00F27D58">
      <w:pPr>
        <w:spacing w:line="360" w:lineRule="auto"/>
        <w:contextualSpacing/>
        <w:rPr>
          <w:rFonts w:ascii="Century Gothic" w:hAnsi="Century Gothic"/>
          <w:sz w:val="24"/>
          <w:szCs w:val="24"/>
        </w:rPr>
      </w:pPr>
    </w:p>
    <w:p w14:paraId="20D7BED1" w14:textId="77777777" w:rsidR="0042317D" w:rsidRDefault="0042317D" w:rsidP="00F27D58">
      <w:pPr>
        <w:spacing w:line="360" w:lineRule="auto"/>
        <w:contextualSpacing/>
        <w:rPr>
          <w:rFonts w:ascii="Century Gothic" w:hAnsi="Century Gothic"/>
          <w:b/>
          <w:bCs/>
          <w:sz w:val="24"/>
          <w:szCs w:val="24"/>
        </w:rPr>
      </w:pPr>
    </w:p>
    <w:p w14:paraId="5A256AAD" w14:textId="77777777" w:rsidR="0042317D" w:rsidRDefault="0042317D" w:rsidP="00F27D58">
      <w:pPr>
        <w:spacing w:line="360" w:lineRule="auto"/>
        <w:contextualSpacing/>
        <w:rPr>
          <w:rFonts w:ascii="Century Gothic" w:hAnsi="Century Gothic"/>
          <w:b/>
          <w:bCs/>
          <w:sz w:val="24"/>
          <w:szCs w:val="24"/>
        </w:rPr>
      </w:pPr>
    </w:p>
    <w:p w14:paraId="39D8505B" w14:textId="77777777" w:rsidR="0042317D" w:rsidRDefault="0042317D" w:rsidP="00F27D58">
      <w:pPr>
        <w:spacing w:line="360" w:lineRule="auto"/>
        <w:contextualSpacing/>
        <w:rPr>
          <w:rFonts w:ascii="Century Gothic" w:hAnsi="Century Gothic"/>
          <w:b/>
          <w:bCs/>
          <w:sz w:val="24"/>
          <w:szCs w:val="24"/>
        </w:rPr>
      </w:pPr>
    </w:p>
    <w:p w14:paraId="5D36B622" w14:textId="03BEFDFD" w:rsidR="00F27D58" w:rsidRDefault="00F27D58" w:rsidP="0042317D">
      <w:pPr>
        <w:pStyle w:val="ListParagraph"/>
        <w:numPr>
          <w:ilvl w:val="0"/>
          <w:numId w:val="1"/>
        </w:numPr>
        <w:spacing w:line="360" w:lineRule="auto"/>
        <w:ind w:hanging="720"/>
        <w:rPr>
          <w:rFonts w:ascii="Century Gothic" w:hAnsi="Century Gothic"/>
          <w:b/>
          <w:bCs/>
          <w:sz w:val="24"/>
          <w:szCs w:val="24"/>
        </w:rPr>
      </w:pPr>
      <w:r w:rsidRPr="0042317D">
        <w:rPr>
          <w:rFonts w:ascii="Century Gothic" w:hAnsi="Century Gothic"/>
          <w:b/>
          <w:bCs/>
          <w:sz w:val="24"/>
          <w:szCs w:val="24"/>
        </w:rPr>
        <w:lastRenderedPageBreak/>
        <w:t>The Constitutional Court</w:t>
      </w:r>
      <w:r w:rsidR="0042317D">
        <w:rPr>
          <w:rFonts w:ascii="Century Gothic" w:hAnsi="Century Gothic"/>
          <w:b/>
          <w:bCs/>
          <w:sz w:val="24"/>
          <w:szCs w:val="24"/>
        </w:rPr>
        <w:t xml:space="preserve">’s judgment </w:t>
      </w:r>
    </w:p>
    <w:p w14:paraId="32205171" w14:textId="77777777" w:rsidR="0042317D" w:rsidRDefault="0042317D" w:rsidP="0042317D">
      <w:pPr>
        <w:spacing w:line="360" w:lineRule="auto"/>
        <w:rPr>
          <w:rFonts w:ascii="Century Gothic" w:hAnsi="Century Gothic"/>
          <w:b/>
          <w:bCs/>
          <w:sz w:val="24"/>
          <w:szCs w:val="24"/>
        </w:rPr>
      </w:pPr>
    </w:p>
    <w:p w14:paraId="0400139A" w14:textId="50604792" w:rsidR="0042317D" w:rsidRPr="0042317D" w:rsidRDefault="0042317D" w:rsidP="0042317D">
      <w:pPr>
        <w:spacing w:line="360" w:lineRule="auto"/>
        <w:rPr>
          <w:rFonts w:ascii="Century Gothic" w:hAnsi="Century Gothic"/>
          <w:sz w:val="24"/>
          <w:szCs w:val="24"/>
        </w:rPr>
      </w:pPr>
      <w:r w:rsidRPr="0042317D">
        <w:rPr>
          <w:rFonts w:ascii="Century Gothic" w:hAnsi="Century Gothic"/>
          <w:sz w:val="24"/>
          <w:szCs w:val="24"/>
        </w:rPr>
        <w:t>3.1</w:t>
      </w:r>
      <w:r w:rsidRPr="0042317D">
        <w:rPr>
          <w:rFonts w:ascii="Century Gothic" w:hAnsi="Century Gothic"/>
          <w:sz w:val="24"/>
          <w:szCs w:val="24"/>
        </w:rPr>
        <w:tab/>
      </w:r>
      <w:r w:rsidRPr="0042317D">
        <w:rPr>
          <w:rFonts w:ascii="Century Gothic" w:hAnsi="Century Gothic"/>
          <w:i/>
          <w:iCs/>
          <w:sz w:val="24"/>
          <w:szCs w:val="24"/>
        </w:rPr>
        <w:t>The differentiation between birth mothers and other parents</w:t>
      </w:r>
    </w:p>
    <w:p w14:paraId="7ADFC68E" w14:textId="77777777" w:rsidR="00F27D58" w:rsidRDefault="00F27D58" w:rsidP="00F27D58">
      <w:pPr>
        <w:spacing w:line="360" w:lineRule="auto"/>
        <w:contextualSpacing/>
        <w:rPr>
          <w:rFonts w:ascii="Century Gothic" w:hAnsi="Century Gothic"/>
          <w:b/>
          <w:bCs/>
          <w:sz w:val="24"/>
          <w:szCs w:val="24"/>
        </w:rPr>
      </w:pPr>
    </w:p>
    <w:p w14:paraId="76B5D05E" w14:textId="722429F2" w:rsidR="00F27D58" w:rsidRPr="00F27D58" w:rsidRDefault="0042317D" w:rsidP="00F27D58">
      <w:pPr>
        <w:spacing w:line="360" w:lineRule="auto"/>
        <w:contextualSpacing/>
        <w:rPr>
          <w:rFonts w:ascii="Century Gothic" w:hAnsi="Century Gothic"/>
          <w:sz w:val="24"/>
          <w:szCs w:val="24"/>
        </w:rPr>
      </w:pPr>
      <w:r>
        <w:rPr>
          <w:rFonts w:ascii="Century Gothic" w:hAnsi="Century Gothic"/>
          <w:sz w:val="24"/>
          <w:szCs w:val="24"/>
        </w:rPr>
        <w:t xml:space="preserve">The </w:t>
      </w:r>
      <w:r w:rsidR="00F27D58">
        <w:rPr>
          <w:rFonts w:ascii="Century Gothic" w:hAnsi="Century Gothic"/>
          <w:sz w:val="24"/>
          <w:szCs w:val="24"/>
        </w:rPr>
        <w:t xml:space="preserve">Constitutional Court </w:t>
      </w:r>
      <w:r>
        <w:rPr>
          <w:rFonts w:ascii="Century Gothic" w:hAnsi="Century Gothic"/>
          <w:sz w:val="24"/>
          <w:szCs w:val="24"/>
        </w:rPr>
        <w:t xml:space="preserve">heard the matter as both a </w:t>
      </w:r>
      <w:r w:rsidR="00F27D58">
        <w:rPr>
          <w:rFonts w:ascii="Century Gothic" w:hAnsi="Century Gothic"/>
          <w:sz w:val="24"/>
          <w:szCs w:val="24"/>
        </w:rPr>
        <w:t>confirmation hearing</w:t>
      </w:r>
      <w:r>
        <w:rPr>
          <w:rFonts w:ascii="Century Gothic" w:hAnsi="Century Gothic"/>
          <w:sz w:val="24"/>
          <w:szCs w:val="24"/>
        </w:rPr>
        <w:t xml:space="preserve"> of the High Courts declaration of constitutional invalidity</w:t>
      </w:r>
      <w:r w:rsidR="00F27D58">
        <w:rPr>
          <w:rFonts w:ascii="Century Gothic" w:hAnsi="Century Gothic"/>
          <w:sz w:val="24"/>
          <w:szCs w:val="24"/>
        </w:rPr>
        <w:t xml:space="preserve">, </w:t>
      </w:r>
      <w:r>
        <w:rPr>
          <w:rFonts w:ascii="Century Gothic" w:hAnsi="Century Gothic"/>
          <w:sz w:val="24"/>
          <w:szCs w:val="24"/>
        </w:rPr>
        <w:t xml:space="preserve">as well as an application for leave to appeal by </w:t>
      </w:r>
      <w:r w:rsidR="00F27D58">
        <w:rPr>
          <w:rFonts w:ascii="Century Gothic" w:hAnsi="Century Gothic"/>
          <w:sz w:val="24"/>
          <w:szCs w:val="24"/>
        </w:rPr>
        <w:t>C</w:t>
      </w:r>
      <w:r>
        <w:rPr>
          <w:rFonts w:ascii="Century Gothic" w:hAnsi="Century Gothic"/>
          <w:sz w:val="24"/>
          <w:szCs w:val="24"/>
        </w:rPr>
        <w:t xml:space="preserve">ommission for Gender Equality against the High Court’s </w:t>
      </w:r>
      <w:r w:rsidR="00F27D58">
        <w:rPr>
          <w:rFonts w:ascii="Century Gothic" w:hAnsi="Century Gothic"/>
          <w:sz w:val="24"/>
          <w:szCs w:val="24"/>
        </w:rPr>
        <w:t xml:space="preserve">findings regarding adoptive leave. </w:t>
      </w:r>
    </w:p>
    <w:p w14:paraId="4BBDF0C2" w14:textId="77777777" w:rsidR="00F27D58" w:rsidRDefault="00F27D58" w:rsidP="00A11E77">
      <w:pPr>
        <w:spacing w:line="360" w:lineRule="auto"/>
        <w:contextualSpacing/>
        <w:rPr>
          <w:rFonts w:ascii="Century Gothic" w:hAnsi="Century Gothic"/>
          <w:sz w:val="24"/>
          <w:szCs w:val="24"/>
        </w:rPr>
      </w:pPr>
    </w:p>
    <w:p w14:paraId="0E428F22" w14:textId="0D3109DD" w:rsidR="00876091" w:rsidRDefault="0086562E" w:rsidP="00A11E77">
      <w:pPr>
        <w:spacing w:line="360" w:lineRule="auto"/>
        <w:contextualSpacing/>
        <w:rPr>
          <w:rFonts w:ascii="Century Gothic" w:hAnsi="Century Gothic"/>
          <w:sz w:val="24"/>
          <w:szCs w:val="24"/>
        </w:rPr>
      </w:pPr>
      <w:r>
        <w:rPr>
          <w:rFonts w:ascii="Century Gothic" w:hAnsi="Century Gothic"/>
          <w:sz w:val="24"/>
          <w:szCs w:val="24"/>
        </w:rPr>
        <w:t xml:space="preserve">Before </w:t>
      </w:r>
      <w:r w:rsidR="00876091">
        <w:rPr>
          <w:rFonts w:ascii="Century Gothic" w:hAnsi="Century Gothic"/>
          <w:sz w:val="24"/>
          <w:szCs w:val="24"/>
        </w:rPr>
        <w:t>the Constitutional Court, the Minister accepted that the BCEA differentiates between birth mothers and other parents, that th</w:t>
      </w:r>
      <w:r>
        <w:rPr>
          <w:rFonts w:ascii="Century Gothic" w:hAnsi="Century Gothic"/>
          <w:sz w:val="24"/>
          <w:szCs w:val="24"/>
        </w:rPr>
        <w:t>is</w:t>
      </w:r>
      <w:r w:rsidR="00876091">
        <w:rPr>
          <w:rFonts w:ascii="Century Gothic" w:hAnsi="Century Gothic"/>
          <w:sz w:val="24"/>
          <w:szCs w:val="24"/>
        </w:rPr>
        <w:t xml:space="preserve"> differentiation was discriminatory, and that </w:t>
      </w:r>
      <w:r>
        <w:rPr>
          <w:rFonts w:ascii="Century Gothic" w:hAnsi="Century Gothic"/>
          <w:sz w:val="24"/>
          <w:szCs w:val="24"/>
        </w:rPr>
        <w:t>such</w:t>
      </w:r>
      <w:r w:rsidR="00876091">
        <w:rPr>
          <w:rFonts w:ascii="Century Gothic" w:hAnsi="Century Gothic"/>
          <w:sz w:val="24"/>
          <w:szCs w:val="24"/>
        </w:rPr>
        <w:t xml:space="preserve"> discrimination was </w:t>
      </w:r>
      <w:r>
        <w:rPr>
          <w:rFonts w:ascii="Century Gothic" w:hAnsi="Century Gothic"/>
          <w:sz w:val="24"/>
          <w:szCs w:val="24"/>
        </w:rPr>
        <w:t>based on the listed ground of</w:t>
      </w:r>
      <w:r w:rsidR="00876091">
        <w:rPr>
          <w:rFonts w:ascii="Century Gothic" w:hAnsi="Century Gothic"/>
          <w:sz w:val="24"/>
          <w:szCs w:val="24"/>
        </w:rPr>
        <w:t xml:space="preserve"> gender and </w:t>
      </w:r>
      <w:r>
        <w:rPr>
          <w:rFonts w:ascii="Century Gothic" w:hAnsi="Century Gothic"/>
          <w:sz w:val="24"/>
          <w:szCs w:val="24"/>
        </w:rPr>
        <w:t xml:space="preserve">was </w:t>
      </w:r>
      <w:r w:rsidR="00876091">
        <w:rPr>
          <w:rFonts w:ascii="Century Gothic" w:hAnsi="Century Gothic"/>
          <w:sz w:val="24"/>
          <w:szCs w:val="24"/>
        </w:rPr>
        <w:t>thus automatically unfair</w:t>
      </w:r>
      <w:r>
        <w:rPr>
          <w:rFonts w:ascii="Century Gothic" w:hAnsi="Century Gothic"/>
          <w:sz w:val="24"/>
          <w:szCs w:val="24"/>
        </w:rPr>
        <w:t xml:space="preserve">. She also accepted that </w:t>
      </w:r>
      <w:r w:rsidR="00876091">
        <w:rPr>
          <w:rFonts w:ascii="Century Gothic" w:hAnsi="Century Gothic"/>
          <w:sz w:val="24"/>
          <w:szCs w:val="24"/>
        </w:rPr>
        <w:t xml:space="preserve">such unfair discrimination could not be justified under a justification analysis </w:t>
      </w:r>
      <w:r w:rsidR="0042317D">
        <w:rPr>
          <w:rFonts w:ascii="Century Gothic" w:hAnsi="Century Gothic"/>
          <w:sz w:val="24"/>
          <w:szCs w:val="24"/>
        </w:rPr>
        <w:t xml:space="preserve">under </w:t>
      </w:r>
      <w:r w:rsidR="00876091">
        <w:rPr>
          <w:rFonts w:ascii="Century Gothic" w:hAnsi="Century Gothic"/>
          <w:sz w:val="24"/>
          <w:szCs w:val="24"/>
        </w:rPr>
        <w:t xml:space="preserve">section 36 of the Constitution. </w:t>
      </w:r>
    </w:p>
    <w:p w14:paraId="1DE5024F" w14:textId="77777777" w:rsidR="00876091" w:rsidRDefault="00876091" w:rsidP="00A11E77">
      <w:pPr>
        <w:spacing w:line="360" w:lineRule="auto"/>
        <w:contextualSpacing/>
        <w:rPr>
          <w:rFonts w:ascii="Century Gothic" w:hAnsi="Century Gothic"/>
          <w:sz w:val="24"/>
          <w:szCs w:val="24"/>
        </w:rPr>
      </w:pPr>
    </w:p>
    <w:p w14:paraId="253F84F4" w14:textId="39C9F4A1" w:rsidR="00C91167" w:rsidRDefault="00A11E77" w:rsidP="00A11E77">
      <w:pPr>
        <w:spacing w:line="360" w:lineRule="auto"/>
        <w:contextualSpacing/>
        <w:rPr>
          <w:rFonts w:ascii="Century Gothic" w:hAnsi="Century Gothic"/>
          <w:sz w:val="24"/>
          <w:szCs w:val="24"/>
        </w:rPr>
      </w:pPr>
      <w:r>
        <w:rPr>
          <w:rFonts w:ascii="Century Gothic" w:hAnsi="Century Gothic"/>
          <w:sz w:val="24"/>
          <w:szCs w:val="24"/>
        </w:rPr>
        <w:t>A</w:t>
      </w:r>
      <w:r w:rsidRPr="00A11E77">
        <w:rPr>
          <w:rFonts w:ascii="Century Gothic" w:hAnsi="Century Gothic"/>
          <w:sz w:val="24"/>
          <w:szCs w:val="24"/>
        </w:rPr>
        <w:t xml:space="preserve">s a result of the Minister’s </w:t>
      </w:r>
      <w:r>
        <w:rPr>
          <w:rFonts w:ascii="Century Gothic" w:hAnsi="Century Gothic"/>
          <w:sz w:val="24"/>
          <w:szCs w:val="24"/>
        </w:rPr>
        <w:t>concession</w:t>
      </w:r>
      <w:r w:rsidR="00FD7C28">
        <w:rPr>
          <w:rFonts w:ascii="Century Gothic" w:hAnsi="Century Gothic"/>
          <w:sz w:val="24"/>
          <w:szCs w:val="24"/>
        </w:rPr>
        <w:t>s</w:t>
      </w:r>
      <w:r>
        <w:rPr>
          <w:rFonts w:ascii="Century Gothic" w:hAnsi="Century Gothic"/>
          <w:sz w:val="24"/>
          <w:szCs w:val="24"/>
        </w:rPr>
        <w:t xml:space="preserve">, the court deemed </w:t>
      </w:r>
      <w:r w:rsidRPr="00A11E77">
        <w:rPr>
          <w:rFonts w:ascii="Century Gothic" w:hAnsi="Century Gothic"/>
          <w:sz w:val="24"/>
          <w:szCs w:val="24"/>
        </w:rPr>
        <w:t>it unnecessary to engage in a</w:t>
      </w:r>
      <w:r w:rsidR="00876091">
        <w:rPr>
          <w:rFonts w:ascii="Century Gothic" w:hAnsi="Century Gothic"/>
          <w:sz w:val="24"/>
          <w:szCs w:val="24"/>
        </w:rPr>
        <w:t xml:space="preserve">ny analysis </w:t>
      </w:r>
      <w:r w:rsidR="00FD7C28">
        <w:rPr>
          <w:rFonts w:ascii="Century Gothic" w:hAnsi="Century Gothic"/>
          <w:sz w:val="24"/>
          <w:szCs w:val="24"/>
        </w:rPr>
        <w:t>of the</w:t>
      </w:r>
      <w:r w:rsidR="00876091">
        <w:rPr>
          <w:rFonts w:ascii="Century Gothic" w:hAnsi="Century Gothic"/>
          <w:sz w:val="24"/>
          <w:szCs w:val="24"/>
        </w:rPr>
        <w:t xml:space="preserve"> provisions under </w:t>
      </w:r>
      <w:r>
        <w:rPr>
          <w:rFonts w:ascii="Century Gothic" w:hAnsi="Century Gothic"/>
          <w:sz w:val="24"/>
          <w:szCs w:val="24"/>
        </w:rPr>
        <w:t xml:space="preserve">section 9(3) </w:t>
      </w:r>
      <w:r w:rsidR="00876091">
        <w:rPr>
          <w:rFonts w:ascii="Century Gothic" w:hAnsi="Century Gothic"/>
          <w:sz w:val="24"/>
          <w:szCs w:val="24"/>
        </w:rPr>
        <w:t>of the Constitution</w:t>
      </w:r>
      <w:r w:rsidR="0086562E">
        <w:rPr>
          <w:rFonts w:ascii="Century Gothic" w:hAnsi="Century Gothic"/>
          <w:sz w:val="24"/>
          <w:szCs w:val="24"/>
        </w:rPr>
        <w:t xml:space="preserve"> </w:t>
      </w:r>
      <w:r w:rsidR="0042317D">
        <w:rPr>
          <w:rFonts w:ascii="Century Gothic" w:hAnsi="Century Gothic"/>
          <w:sz w:val="24"/>
          <w:szCs w:val="24"/>
        </w:rPr>
        <w:t>and accepted</w:t>
      </w:r>
      <w:r w:rsidR="00FD7C28">
        <w:rPr>
          <w:rFonts w:ascii="Century Gothic" w:hAnsi="Century Gothic"/>
          <w:sz w:val="24"/>
          <w:szCs w:val="24"/>
        </w:rPr>
        <w:t xml:space="preserve"> that the provisions infringed the right to equality</w:t>
      </w:r>
      <w:r w:rsidR="0042317D">
        <w:rPr>
          <w:rFonts w:ascii="Century Gothic" w:hAnsi="Century Gothic"/>
          <w:sz w:val="24"/>
          <w:szCs w:val="24"/>
        </w:rPr>
        <w:t xml:space="preserve"> without more. </w:t>
      </w:r>
    </w:p>
    <w:p w14:paraId="4AB51484" w14:textId="77777777" w:rsidR="0042317D" w:rsidRDefault="0042317D" w:rsidP="00A11E77">
      <w:pPr>
        <w:spacing w:line="360" w:lineRule="auto"/>
        <w:contextualSpacing/>
        <w:rPr>
          <w:rFonts w:ascii="Century Gothic" w:hAnsi="Century Gothic"/>
          <w:sz w:val="24"/>
          <w:szCs w:val="24"/>
        </w:rPr>
      </w:pPr>
    </w:p>
    <w:p w14:paraId="13492DA8" w14:textId="0573E138" w:rsidR="00FD7C28" w:rsidRDefault="00FD7C28" w:rsidP="00A11E77">
      <w:pPr>
        <w:spacing w:line="360" w:lineRule="auto"/>
        <w:contextualSpacing/>
        <w:rPr>
          <w:rFonts w:ascii="Century Gothic" w:hAnsi="Century Gothic"/>
          <w:sz w:val="24"/>
          <w:szCs w:val="24"/>
        </w:rPr>
      </w:pPr>
      <w:r>
        <w:rPr>
          <w:rFonts w:ascii="Century Gothic" w:hAnsi="Century Gothic"/>
          <w:sz w:val="24"/>
          <w:szCs w:val="24"/>
        </w:rPr>
        <w:t>The Court then turned its attention to section 10 of the Constitution, the right to dignity. It noted that</w:t>
      </w:r>
      <w:r w:rsidR="00A11E77" w:rsidRPr="00A11E77">
        <w:rPr>
          <w:rFonts w:ascii="Century Gothic" w:hAnsi="Century Gothic"/>
          <w:sz w:val="24"/>
          <w:szCs w:val="24"/>
        </w:rPr>
        <w:t xml:space="preserve"> human dignity of </w:t>
      </w:r>
      <w:r>
        <w:rPr>
          <w:rFonts w:ascii="Century Gothic" w:hAnsi="Century Gothic"/>
          <w:sz w:val="24"/>
          <w:szCs w:val="24"/>
        </w:rPr>
        <w:t>non-birth mother parents had also been</w:t>
      </w:r>
      <w:r w:rsidR="00A11E77" w:rsidRPr="00A11E77">
        <w:rPr>
          <w:rFonts w:ascii="Century Gothic" w:hAnsi="Century Gothic"/>
          <w:sz w:val="24"/>
          <w:szCs w:val="24"/>
        </w:rPr>
        <w:t xml:space="preserve"> violated because they </w:t>
      </w:r>
      <w:r>
        <w:rPr>
          <w:rFonts w:ascii="Century Gothic" w:hAnsi="Century Gothic"/>
          <w:sz w:val="24"/>
          <w:szCs w:val="24"/>
        </w:rPr>
        <w:t xml:space="preserve">were </w:t>
      </w:r>
      <w:r w:rsidR="00A11E77" w:rsidRPr="00A11E77">
        <w:rPr>
          <w:rFonts w:ascii="Century Gothic" w:hAnsi="Century Gothic"/>
          <w:sz w:val="24"/>
          <w:szCs w:val="24"/>
        </w:rPr>
        <w:t xml:space="preserve">not afforded the humane protection afforded to birth mothers. The </w:t>
      </w:r>
      <w:r>
        <w:rPr>
          <w:rFonts w:ascii="Century Gothic" w:hAnsi="Century Gothic"/>
          <w:sz w:val="24"/>
          <w:szCs w:val="24"/>
        </w:rPr>
        <w:t xml:space="preserve">Court reiterated the High Court’s finding that </w:t>
      </w:r>
      <w:r w:rsidR="00A11E77" w:rsidRPr="00A11E77">
        <w:rPr>
          <w:rFonts w:ascii="Century Gothic" w:hAnsi="Century Gothic"/>
          <w:sz w:val="24"/>
          <w:szCs w:val="24"/>
        </w:rPr>
        <w:t>protection of birth mothers to the exclusion of other parents perpetua</w:t>
      </w:r>
      <w:r>
        <w:rPr>
          <w:rFonts w:ascii="Century Gothic" w:hAnsi="Century Gothic"/>
          <w:sz w:val="24"/>
          <w:szCs w:val="24"/>
        </w:rPr>
        <w:t>ted</w:t>
      </w:r>
      <w:r w:rsidR="00A11E77" w:rsidRPr="00A11E77">
        <w:rPr>
          <w:rFonts w:ascii="Century Gothic" w:hAnsi="Century Gothic"/>
          <w:sz w:val="24"/>
          <w:szCs w:val="24"/>
        </w:rPr>
        <w:t xml:space="preserve"> </w:t>
      </w:r>
      <w:r>
        <w:rPr>
          <w:rFonts w:ascii="Century Gothic" w:hAnsi="Century Gothic"/>
          <w:sz w:val="24"/>
          <w:szCs w:val="24"/>
        </w:rPr>
        <w:t xml:space="preserve">the </w:t>
      </w:r>
      <w:r w:rsidR="00A11E77" w:rsidRPr="00A11E77">
        <w:rPr>
          <w:rFonts w:ascii="Century Gothic" w:hAnsi="Century Gothic"/>
          <w:sz w:val="24"/>
          <w:szCs w:val="24"/>
        </w:rPr>
        <w:t>assumption that women are</w:t>
      </w:r>
      <w:r w:rsidR="0086562E">
        <w:rPr>
          <w:rFonts w:ascii="Century Gothic" w:hAnsi="Century Gothic"/>
          <w:sz w:val="24"/>
          <w:szCs w:val="24"/>
        </w:rPr>
        <w:t>,</w:t>
      </w:r>
      <w:r w:rsidR="00A11E77" w:rsidRPr="00A11E77">
        <w:rPr>
          <w:rFonts w:ascii="Century Gothic" w:hAnsi="Century Gothic"/>
          <w:sz w:val="24"/>
          <w:szCs w:val="24"/>
        </w:rPr>
        <w:t xml:space="preserve"> and should be</w:t>
      </w:r>
      <w:r w:rsidR="0086562E">
        <w:rPr>
          <w:rFonts w:ascii="Century Gothic" w:hAnsi="Century Gothic"/>
          <w:sz w:val="24"/>
          <w:szCs w:val="24"/>
        </w:rPr>
        <w:t>,</w:t>
      </w:r>
      <w:r w:rsidR="00A11E77" w:rsidRPr="00A11E77">
        <w:rPr>
          <w:rFonts w:ascii="Century Gothic" w:hAnsi="Century Gothic"/>
          <w:sz w:val="24"/>
          <w:szCs w:val="24"/>
        </w:rPr>
        <w:t xml:space="preserve"> the primary caregivers of children</w:t>
      </w:r>
      <w:r>
        <w:rPr>
          <w:rFonts w:ascii="Century Gothic" w:hAnsi="Century Gothic"/>
          <w:sz w:val="24"/>
          <w:szCs w:val="24"/>
        </w:rPr>
        <w:t xml:space="preserve">, as well as the </w:t>
      </w:r>
      <w:r w:rsidR="00A11E77" w:rsidRPr="00A11E77">
        <w:rPr>
          <w:rFonts w:ascii="Century Gothic" w:hAnsi="Century Gothic"/>
          <w:sz w:val="24"/>
          <w:szCs w:val="24"/>
        </w:rPr>
        <w:t xml:space="preserve"> </w:t>
      </w:r>
      <w:r>
        <w:rPr>
          <w:rFonts w:ascii="Century Gothic" w:hAnsi="Century Gothic"/>
          <w:sz w:val="24"/>
          <w:szCs w:val="24"/>
        </w:rPr>
        <w:t xml:space="preserve">marginalization of fathers in which their </w:t>
      </w:r>
      <w:r w:rsidR="00A11E77" w:rsidRPr="00A11E77">
        <w:rPr>
          <w:rFonts w:ascii="Century Gothic" w:hAnsi="Century Gothic"/>
          <w:sz w:val="24"/>
          <w:szCs w:val="24"/>
        </w:rPr>
        <w:t>opportunity to</w:t>
      </w:r>
      <w:r>
        <w:rPr>
          <w:rFonts w:ascii="Century Gothic" w:hAnsi="Century Gothic"/>
          <w:sz w:val="24"/>
          <w:szCs w:val="24"/>
        </w:rPr>
        <w:t xml:space="preserve"> be</w:t>
      </w:r>
      <w:r w:rsidR="00A11E77" w:rsidRPr="00A11E77">
        <w:rPr>
          <w:rFonts w:ascii="Century Gothic" w:hAnsi="Century Gothic"/>
          <w:sz w:val="24"/>
          <w:szCs w:val="24"/>
        </w:rPr>
        <w:t xml:space="preserve"> involve</w:t>
      </w:r>
      <w:r>
        <w:rPr>
          <w:rFonts w:ascii="Century Gothic" w:hAnsi="Century Gothic"/>
          <w:sz w:val="24"/>
          <w:szCs w:val="24"/>
        </w:rPr>
        <w:t xml:space="preserve">d </w:t>
      </w:r>
      <w:r w:rsidR="00A11E77" w:rsidRPr="00A11E77">
        <w:rPr>
          <w:rFonts w:ascii="Century Gothic" w:hAnsi="Century Gothic"/>
          <w:sz w:val="24"/>
          <w:szCs w:val="24"/>
        </w:rPr>
        <w:t>as a parent in the upbringing of the baby during the early stages of life</w:t>
      </w:r>
      <w:r>
        <w:rPr>
          <w:rFonts w:ascii="Century Gothic" w:hAnsi="Century Gothic"/>
          <w:sz w:val="24"/>
          <w:szCs w:val="24"/>
        </w:rPr>
        <w:t xml:space="preserve"> was deprived</w:t>
      </w:r>
      <w:r w:rsidR="00A11E77" w:rsidRPr="00A11E77">
        <w:rPr>
          <w:rFonts w:ascii="Century Gothic" w:hAnsi="Century Gothic"/>
          <w:sz w:val="24"/>
          <w:szCs w:val="24"/>
        </w:rPr>
        <w:t>.</w:t>
      </w:r>
      <w:r>
        <w:rPr>
          <w:rFonts w:ascii="Century Gothic" w:hAnsi="Century Gothic"/>
          <w:sz w:val="24"/>
          <w:szCs w:val="24"/>
        </w:rPr>
        <w:t xml:space="preserve"> </w:t>
      </w:r>
      <w:r w:rsidR="0086562E">
        <w:rPr>
          <w:rFonts w:ascii="Century Gothic" w:hAnsi="Century Gothic"/>
          <w:sz w:val="24"/>
          <w:szCs w:val="24"/>
        </w:rPr>
        <w:t xml:space="preserve">Both </w:t>
      </w:r>
      <w:r w:rsidR="0086562E" w:rsidRPr="00A11E77">
        <w:rPr>
          <w:rFonts w:ascii="Century Gothic" w:hAnsi="Century Gothic"/>
          <w:sz w:val="24"/>
          <w:szCs w:val="24"/>
        </w:rPr>
        <w:lastRenderedPageBreak/>
        <w:t>parents</w:t>
      </w:r>
      <w:r w:rsidR="00A11E77" w:rsidRPr="00A11E77">
        <w:rPr>
          <w:rFonts w:ascii="Century Gothic" w:hAnsi="Century Gothic"/>
          <w:sz w:val="24"/>
          <w:szCs w:val="24"/>
        </w:rPr>
        <w:t xml:space="preserve"> </w:t>
      </w:r>
      <w:r>
        <w:rPr>
          <w:rFonts w:ascii="Century Gothic" w:hAnsi="Century Gothic"/>
          <w:sz w:val="24"/>
          <w:szCs w:val="24"/>
        </w:rPr>
        <w:t xml:space="preserve">were </w:t>
      </w:r>
      <w:r w:rsidR="00A11E77" w:rsidRPr="00A11E77">
        <w:rPr>
          <w:rFonts w:ascii="Century Gothic" w:hAnsi="Century Gothic"/>
          <w:sz w:val="24"/>
          <w:szCs w:val="24"/>
        </w:rPr>
        <w:t>also deprived of the</w:t>
      </w:r>
      <w:r>
        <w:rPr>
          <w:rFonts w:ascii="Century Gothic" w:hAnsi="Century Gothic"/>
          <w:sz w:val="24"/>
          <w:szCs w:val="24"/>
        </w:rPr>
        <w:t>ir</w:t>
      </w:r>
      <w:r w:rsidR="00A11E77" w:rsidRPr="00A11E77">
        <w:rPr>
          <w:rFonts w:ascii="Century Gothic" w:hAnsi="Century Gothic"/>
          <w:sz w:val="24"/>
          <w:szCs w:val="24"/>
        </w:rPr>
        <w:t xml:space="preserve"> choice to structure their child-nurturing responsibilities </w:t>
      </w:r>
      <w:r>
        <w:rPr>
          <w:rFonts w:ascii="Century Gothic" w:hAnsi="Century Gothic"/>
          <w:sz w:val="24"/>
          <w:szCs w:val="24"/>
        </w:rPr>
        <w:t xml:space="preserve">as they wished </w:t>
      </w:r>
      <w:r w:rsidR="00A11E77" w:rsidRPr="00A11E77">
        <w:rPr>
          <w:rFonts w:ascii="Century Gothic" w:hAnsi="Century Gothic"/>
          <w:sz w:val="24"/>
          <w:szCs w:val="24"/>
        </w:rPr>
        <w:t>rather than be</w:t>
      </w:r>
      <w:r>
        <w:rPr>
          <w:rFonts w:ascii="Century Gothic" w:hAnsi="Century Gothic"/>
          <w:sz w:val="24"/>
          <w:szCs w:val="24"/>
        </w:rPr>
        <w:t xml:space="preserve"> </w:t>
      </w:r>
      <w:r w:rsidR="00A11E77" w:rsidRPr="00A11E77">
        <w:rPr>
          <w:rFonts w:ascii="Century Gothic" w:hAnsi="Century Gothic"/>
          <w:sz w:val="24"/>
          <w:szCs w:val="24"/>
        </w:rPr>
        <w:t xml:space="preserve">assigned caregiving and parental responsibilities based on their gender. </w:t>
      </w:r>
    </w:p>
    <w:p w14:paraId="32FACB2F" w14:textId="77777777" w:rsidR="0042317D" w:rsidRDefault="0042317D" w:rsidP="00A11E77">
      <w:pPr>
        <w:spacing w:line="360" w:lineRule="auto"/>
        <w:contextualSpacing/>
        <w:rPr>
          <w:rFonts w:ascii="Century Gothic" w:hAnsi="Century Gothic"/>
          <w:sz w:val="24"/>
          <w:szCs w:val="24"/>
        </w:rPr>
      </w:pPr>
    </w:p>
    <w:p w14:paraId="07DC5E44" w14:textId="5ADF85D1" w:rsidR="0042317D" w:rsidRPr="0042317D" w:rsidRDefault="0042317D" w:rsidP="00A11E77">
      <w:pPr>
        <w:spacing w:line="360" w:lineRule="auto"/>
        <w:contextualSpacing/>
        <w:rPr>
          <w:rFonts w:ascii="Century Gothic" w:hAnsi="Century Gothic"/>
          <w:i/>
          <w:iCs/>
          <w:sz w:val="24"/>
          <w:szCs w:val="24"/>
        </w:rPr>
      </w:pPr>
      <w:r w:rsidRPr="0042317D">
        <w:rPr>
          <w:rFonts w:ascii="Century Gothic" w:hAnsi="Century Gothic"/>
          <w:sz w:val="24"/>
          <w:szCs w:val="24"/>
        </w:rPr>
        <w:t>3.2</w:t>
      </w:r>
      <w:r w:rsidRPr="0042317D">
        <w:rPr>
          <w:rFonts w:ascii="Century Gothic" w:hAnsi="Century Gothic"/>
          <w:sz w:val="24"/>
          <w:szCs w:val="24"/>
        </w:rPr>
        <w:tab/>
      </w:r>
      <w:r w:rsidRPr="0042317D">
        <w:rPr>
          <w:rFonts w:ascii="Century Gothic" w:hAnsi="Century Gothic"/>
          <w:i/>
          <w:iCs/>
          <w:sz w:val="24"/>
          <w:szCs w:val="24"/>
        </w:rPr>
        <w:t>Adoptive leave and the two-year age capping</w:t>
      </w:r>
    </w:p>
    <w:p w14:paraId="58BE14A2" w14:textId="77777777" w:rsidR="00FD7C28" w:rsidRDefault="00FD7C28" w:rsidP="00A11E77">
      <w:pPr>
        <w:spacing w:line="360" w:lineRule="auto"/>
        <w:contextualSpacing/>
        <w:rPr>
          <w:rFonts w:ascii="Century Gothic" w:hAnsi="Century Gothic"/>
          <w:sz w:val="24"/>
          <w:szCs w:val="24"/>
        </w:rPr>
      </w:pPr>
    </w:p>
    <w:p w14:paraId="6C4D5DF7" w14:textId="4460D7CB" w:rsidR="00C91167" w:rsidRDefault="00FD7C28" w:rsidP="00A11E77">
      <w:pPr>
        <w:spacing w:line="360" w:lineRule="auto"/>
        <w:contextualSpacing/>
        <w:rPr>
          <w:rFonts w:ascii="Century Gothic" w:hAnsi="Century Gothic"/>
          <w:sz w:val="24"/>
          <w:szCs w:val="24"/>
        </w:rPr>
      </w:pPr>
      <w:r>
        <w:rPr>
          <w:rFonts w:ascii="Century Gothic" w:hAnsi="Century Gothic"/>
          <w:sz w:val="24"/>
          <w:szCs w:val="24"/>
        </w:rPr>
        <w:t xml:space="preserve">Regarding the issue of adoptive leave, and the capping of the child’s age at two years, the court found that it was clear that the provisions differentiated between </w:t>
      </w:r>
      <w:r w:rsidR="0086562E">
        <w:rPr>
          <w:rFonts w:ascii="Century Gothic" w:hAnsi="Century Gothic"/>
          <w:sz w:val="24"/>
          <w:szCs w:val="24"/>
        </w:rPr>
        <w:t xml:space="preserve">different </w:t>
      </w:r>
      <w:r>
        <w:rPr>
          <w:rFonts w:ascii="Century Gothic" w:hAnsi="Century Gothic"/>
          <w:sz w:val="24"/>
          <w:szCs w:val="24"/>
        </w:rPr>
        <w:t xml:space="preserve">categories of adoptive parents, as well as </w:t>
      </w:r>
      <w:r w:rsidR="0086562E">
        <w:rPr>
          <w:rFonts w:ascii="Century Gothic" w:hAnsi="Century Gothic"/>
          <w:sz w:val="24"/>
          <w:szCs w:val="24"/>
        </w:rPr>
        <w:t xml:space="preserve">different categories of </w:t>
      </w:r>
      <w:r>
        <w:rPr>
          <w:rFonts w:ascii="Century Gothic" w:hAnsi="Century Gothic"/>
          <w:sz w:val="24"/>
          <w:szCs w:val="24"/>
        </w:rPr>
        <w:t xml:space="preserve">adoptive children. In the </w:t>
      </w:r>
      <w:r w:rsidR="0086562E">
        <w:rPr>
          <w:rFonts w:ascii="Century Gothic" w:hAnsi="Century Gothic"/>
          <w:sz w:val="24"/>
          <w:szCs w:val="24"/>
        </w:rPr>
        <w:t xml:space="preserve">case of the </w:t>
      </w:r>
      <w:r>
        <w:rPr>
          <w:rFonts w:ascii="Century Gothic" w:hAnsi="Century Gothic"/>
          <w:sz w:val="24"/>
          <w:szCs w:val="24"/>
        </w:rPr>
        <w:t>former</w:t>
      </w:r>
      <w:r w:rsidR="0086562E">
        <w:rPr>
          <w:rFonts w:ascii="Century Gothic" w:hAnsi="Century Gothic"/>
          <w:sz w:val="24"/>
          <w:szCs w:val="24"/>
        </w:rPr>
        <w:t>,</w:t>
      </w:r>
      <w:r>
        <w:rPr>
          <w:rFonts w:ascii="Century Gothic" w:hAnsi="Century Gothic"/>
          <w:sz w:val="24"/>
          <w:szCs w:val="24"/>
        </w:rPr>
        <w:t xml:space="preserve"> the differentiation occurred </w:t>
      </w:r>
      <w:proofErr w:type="gramStart"/>
      <w:r>
        <w:rPr>
          <w:rFonts w:ascii="Century Gothic" w:hAnsi="Century Gothic"/>
          <w:sz w:val="24"/>
          <w:szCs w:val="24"/>
        </w:rPr>
        <w:t>on the basis of</w:t>
      </w:r>
      <w:proofErr w:type="gramEnd"/>
      <w:r>
        <w:rPr>
          <w:rFonts w:ascii="Century Gothic" w:hAnsi="Century Gothic"/>
          <w:sz w:val="24"/>
          <w:szCs w:val="24"/>
        </w:rPr>
        <w:t xml:space="preserve"> </w:t>
      </w:r>
      <w:r w:rsidR="0086562E">
        <w:rPr>
          <w:rFonts w:ascii="Century Gothic" w:hAnsi="Century Gothic"/>
          <w:sz w:val="24"/>
          <w:szCs w:val="24"/>
        </w:rPr>
        <w:t>whether</w:t>
      </w:r>
      <w:r>
        <w:rPr>
          <w:rFonts w:ascii="Century Gothic" w:hAnsi="Century Gothic"/>
          <w:sz w:val="24"/>
          <w:szCs w:val="24"/>
        </w:rPr>
        <w:t xml:space="preserve"> the </w:t>
      </w:r>
      <w:proofErr w:type="gramStart"/>
      <w:r>
        <w:rPr>
          <w:rFonts w:ascii="Century Gothic" w:hAnsi="Century Gothic"/>
          <w:sz w:val="24"/>
          <w:szCs w:val="24"/>
        </w:rPr>
        <w:t>parents’</w:t>
      </w:r>
      <w:proofErr w:type="gramEnd"/>
      <w:r>
        <w:rPr>
          <w:rFonts w:ascii="Century Gothic" w:hAnsi="Century Gothic"/>
          <w:sz w:val="24"/>
          <w:szCs w:val="24"/>
        </w:rPr>
        <w:t xml:space="preserve"> </w:t>
      </w:r>
      <w:r w:rsidR="0086562E">
        <w:rPr>
          <w:rFonts w:ascii="Century Gothic" w:hAnsi="Century Gothic"/>
          <w:sz w:val="24"/>
          <w:szCs w:val="24"/>
        </w:rPr>
        <w:t>adopted child</w:t>
      </w:r>
      <w:r>
        <w:rPr>
          <w:rFonts w:ascii="Century Gothic" w:hAnsi="Century Gothic"/>
          <w:sz w:val="24"/>
          <w:szCs w:val="24"/>
        </w:rPr>
        <w:t xml:space="preserve"> was older than two or not</w:t>
      </w:r>
      <w:r w:rsidR="0086562E">
        <w:rPr>
          <w:rFonts w:ascii="Century Gothic" w:hAnsi="Century Gothic"/>
          <w:sz w:val="24"/>
          <w:szCs w:val="24"/>
        </w:rPr>
        <w:t>. I</w:t>
      </w:r>
      <w:r>
        <w:rPr>
          <w:rFonts w:ascii="Century Gothic" w:hAnsi="Century Gothic"/>
          <w:sz w:val="24"/>
          <w:szCs w:val="24"/>
        </w:rPr>
        <w:t>n the</w:t>
      </w:r>
      <w:r w:rsidR="0086562E">
        <w:rPr>
          <w:rFonts w:ascii="Century Gothic" w:hAnsi="Century Gothic"/>
          <w:sz w:val="24"/>
          <w:szCs w:val="24"/>
        </w:rPr>
        <w:t xml:space="preserve"> case of the</w:t>
      </w:r>
      <w:r>
        <w:rPr>
          <w:rFonts w:ascii="Century Gothic" w:hAnsi="Century Gothic"/>
          <w:sz w:val="24"/>
          <w:szCs w:val="24"/>
        </w:rPr>
        <w:t xml:space="preserve"> latter</w:t>
      </w:r>
      <w:r w:rsidR="0086562E">
        <w:rPr>
          <w:rFonts w:ascii="Century Gothic" w:hAnsi="Century Gothic"/>
          <w:sz w:val="24"/>
          <w:szCs w:val="24"/>
        </w:rPr>
        <w:t xml:space="preserve">, </w:t>
      </w:r>
      <w:r>
        <w:rPr>
          <w:rFonts w:ascii="Century Gothic" w:hAnsi="Century Gothic"/>
          <w:sz w:val="24"/>
          <w:szCs w:val="24"/>
        </w:rPr>
        <w:t xml:space="preserve">the basis of the </w:t>
      </w:r>
      <w:r w:rsidR="0086562E">
        <w:rPr>
          <w:rFonts w:ascii="Century Gothic" w:hAnsi="Century Gothic"/>
          <w:sz w:val="24"/>
          <w:szCs w:val="24"/>
        </w:rPr>
        <w:t xml:space="preserve">differentiation was the </w:t>
      </w:r>
      <w:r>
        <w:rPr>
          <w:rFonts w:ascii="Century Gothic" w:hAnsi="Century Gothic"/>
          <w:sz w:val="24"/>
          <w:szCs w:val="24"/>
        </w:rPr>
        <w:t xml:space="preserve">adoptive child’s age itself. </w:t>
      </w:r>
    </w:p>
    <w:p w14:paraId="0D20796D" w14:textId="77777777" w:rsidR="00FD7C28" w:rsidRDefault="00FD7C28" w:rsidP="00A11E77">
      <w:pPr>
        <w:spacing w:line="360" w:lineRule="auto"/>
        <w:contextualSpacing/>
        <w:rPr>
          <w:rFonts w:ascii="Century Gothic" w:hAnsi="Century Gothic"/>
          <w:sz w:val="24"/>
          <w:szCs w:val="24"/>
        </w:rPr>
      </w:pPr>
    </w:p>
    <w:p w14:paraId="7373A2ED" w14:textId="1510B092" w:rsidR="0086562E" w:rsidRDefault="00FD7C28" w:rsidP="00A11E77">
      <w:pPr>
        <w:spacing w:line="360" w:lineRule="auto"/>
        <w:contextualSpacing/>
        <w:rPr>
          <w:rFonts w:ascii="Century Gothic" w:hAnsi="Century Gothic"/>
          <w:sz w:val="24"/>
          <w:szCs w:val="24"/>
        </w:rPr>
      </w:pPr>
      <w:r>
        <w:rPr>
          <w:rFonts w:ascii="Century Gothic" w:hAnsi="Century Gothic"/>
          <w:sz w:val="24"/>
          <w:szCs w:val="24"/>
        </w:rPr>
        <w:t>T</w:t>
      </w:r>
      <w:r w:rsidR="0086562E">
        <w:rPr>
          <w:rFonts w:ascii="Century Gothic" w:hAnsi="Century Gothic"/>
          <w:sz w:val="24"/>
          <w:szCs w:val="24"/>
        </w:rPr>
        <w:t>o</w:t>
      </w:r>
      <w:r>
        <w:rPr>
          <w:rFonts w:ascii="Century Gothic" w:hAnsi="Century Gothic"/>
          <w:sz w:val="24"/>
          <w:szCs w:val="24"/>
        </w:rPr>
        <w:t xml:space="preserve"> determine whether there existed a rational connection between the </w:t>
      </w:r>
      <w:r w:rsidR="0086562E">
        <w:rPr>
          <w:rFonts w:ascii="Century Gothic" w:hAnsi="Century Gothic"/>
          <w:sz w:val="24"/>
          <w:szCs w:val="24"/>
        </w:rPr>
        <w:t>differentiation</w:t>
      </w:r>
      <w:r>
        <w:rPr>
          <w:rFonts w:ascii="Century Gothic" w:hAnsi="Century Gothic"/>
          <w:sz w:val="24"/>
          <w:szCs w:val="24"/>
        </w:rPr>
        <w:t xml:space="preserve"> outlined above and a legitimate government objective, the Court began with the Minister’s arguments that the age-cap inherent in the provisions </w:t>
      </w:r>
      <w:r w:rsidR="00AE7AE7">
        <w:rPr>
          <w:rFonts w:ascii="Century Gothic" w:hAnsi="Century Gothic"/>
          <w:sz w:val="24"/>
          <w:szCs w:val="24"/>
        </w:rPr>
        <w:t>w</w:t>
      </w:r>
      <w:r w:rsidR="0086562E">
        <w:rPr>
          <w:rFonts w:ascii="Century Gothic" w:hAnsi="Century Gothic"/>
          <w:sz w:val="24"/>
          <w:szCs w:val="24"/>
        </w:rPr>
        <w:t xml:space="preserve">as intended to create </w:t>
      </w:r>
      <w:r>
        <w:rPr>
          <w:rFonts w:ascii="Century Gothic" w:hAnsi="Century Gothic"/>
          <w:sz w:val="24"/>
          <w:szCs w:val="24"/>
        </w:rPr>
        <w:t xml:space="preserve">equivalence between birth parents and adoptive parents. </w:t>
      </w:r>
    </w:p>
    <w:p w14:paraId="0E4AA90A" w14:textId="66506A2A" w:rsidR="0086562E" w:rsidRDefault="0086562E" w:rsidP="00A11E77">
      <w:pPr>
        <w:spacing w:line="360" w:lineRule="auto"/>
        <w:contextualSpacing/>
        <w:rPr>
          <w:rFonts w:ascii="Century Gothic" w:hAnsi="Century Gothic"/>
          <w:sz w:val="24"/>
          <w:szCs w:val="24"/>
        </w:rPr>
      </w:pPr>
    </w:p>
    <w:p w14:paraId="51A95D60" w14:textId="3848820F" w:rsidR="00FD7C28" w:rsidRDefault="00AE7AE7" w:rsidP="00A11E77">
      <w:pPr>
        <w:spacing w:line="360" w:lineRule="auto"/>
        <w:contextualSpacing/>
        <w:rPr>
          <w:rFonts w:ascii="Century Gothic" w:hAnsi="Century Gothic"/>
          <w:sz w:val="24"/>
          <w:szCs w:val="24"/>
        </w:rPr>
      </w:pPr>
      <w:r>
        <w:rPr>
          <w:rFonts w:ascii="Century Gothic" w:hAnsi="Century Gothic"/>
          <w:sz w:val="24"/>
          <w:szCs w:val="24"/>
        </w:rPr>
        <w:t>In its analysis</w:t>
      </w:r>
      <w:r w:rsidR="00FD7C28">
        <w:rPr>
          <w:rFonts w:ascii="Century Gothic" w:hAnsi="Century Gothic"/>
          <w:sz w:val="24"/>
          <w:szCs w:val="24"/>
        </w:rPr>
        <w:t xml:space="preserve">, the court </w:t>
      </w:r>
      <w:r w:rsidR="0086562E">
        <w:rPr>
          <w:rFonts w:ascii="Century Gothic" w:hAnsi="Century Gothic"/>
          <w:sz w:val="24"/>
          <w:szCs w:val="24"/>
        </w:rPr>
        <w:t xml:space="preserve">disagreed </w:t>
      </w:r>
      <w:r>
        <w:rPr>
          <w:rFonts w:ascii="Century Gothic" w:hAnsi="Century Gothic"/>
          <w:sz w:val="24"/>
          <w:szCs w:val="24"/>
        </w:rPr>
        <w:t xml:space="preserve">with the Minister’s arguments. It stated </w:t>
      </w:r>
      <w:r w:rsidR="0086562E">
        <w:rPr>
          <w:rFonts w:ascii="Century Gothic" w:hAnsi="Century Gothic"/>
          <w:sz w:val="24"/>
          <w:szCs w:val="24"/>
        </w:rPr>
        <w:t xml:space="preserve">that </w:t>
      </w:r>
      <w:r w:rsidR="00FD7C28">
        <w:rPr>
          <w:rFonts w:ascii="Century Gothic" w:hAnsi="Century Gothic"/>
          <w:sz w:val="24"/>
          <w:szCs w:val="24"/>
        </w:rPr>
        <w:t xml:space="preserve">this argument </w:t>
      </w:r>
      <w:proofErr w:type="gramStart"/>
      <w:r>
        <w:rPr>
          <w:rFonts w:ascii="Century Gothic" w:hAnsi="Century Gothic"/>
          <w:sz w:val="24"/>
          <w:szCs w:val="24"/>
        </w:rPr>
        <w:t>in</w:t>
      </w:r>
      <w:r w:rsidR="00FD7C28">
        <w:rPr>
          <w:rFonts w:ascii="Century Gothic" w:hAnsi="Century Gothic"/>
          <w:sz w:val="24"/>
          <w:szCs w:val="24"/>
        </w:rPr>
        <w:t>consistent</w:t>
      </w:r>
      <w:proofErr w:type="gramEnd"/>
      <w:r w:rsidR="00FD7C28">
        <w:rPr>
          <w:rFonts w:ascii="Century Gothic" w:hAnsi="Century Gothic"/>
          <w:sz w:val="24"/>
          <w:szCs w:val="24"/>
        </w:rPr>
        <w:t xml:space="preserve"> with the fact that </w:t>
      </w:r>
      <w:proofErr w:type="gramStart"/>
      <w:r w:rsidR="00FD7C28">
        <w:rPr>
          <w:rFonts w:ascii="Century Gothic" w:hAnsi="Century Gothic"/>
          <w:sz w:val="24"/>
          <w:szCs w:val="24"/>
        </w:rPr>
        <w:t>birth</w:t>
      </w:r>
      <w:proofErr w:type="gramEnd"/>
      <w:r w:rsidR="0086562E">
        <w:rPr>
          <w:rFonts w:ascii="Century Gothic" w:hAnsi="Century Gothic"/>
          <w:sz w:val="24"/>
          <w:szCs w:val="24"/>
        </w:rPr>
        <w:t xml:space="preserve"> </w:t>
      </w:r>
      <w:r w:rsidR="00FD7C28">
        <w:rPr>
          <w:rFonts w:ascii="Century Gothic" w:hAnsi="Century Gothic"/>
          <w:sz w:val="24"/>
          <w:szCs w:val="24"/>
        </w:rPr>
        <w:t xml:space="preserve">parents’ leave </w:t>
      </w:r>
      <w:r w:rsidR="0086562E">
        <w:rPr>
          <w:rFonts w:ascii="Century Gothic" w:hAnsi="Century Gothic"/>
          <w:sz w:val="24"/>
          <w:szCs w:val="24"/>
        </w:rPr>
        <w:t xml:space="preserve">comes to an end </w:t>
      </w:r>
      <w:r w:rsidR="00FD7C28">
        <w:rPr>
          <w:rFonts w:ascii="Century Gothic" w:hAnsi="Century Gothic"/>
          <w:sz w:val="24"/>
          <w:szCs w:val="24"/>
        </w:rPr>
        <w:t>when the child is no older than four months</w:t>
      </w:r>
      <w:r>
        <w:rPr>
          <w:rFonts w:ascii="Century Gothic" w:hAnsi="Century Gothic"/>
          <w:sz w:val="24"/>
          <w:szCs w:val="24"/>
        </w:rPr>
        <w:t>,</w:t>
      </w:r>
      <w:r w:rsidR="0086562E">
        <w:rPr>
          <w:rFonts w:ascii="Century Gothic" w:hAnsi="Century Gothic"/>
          <w:sz w:val="24"/>
          <w:szCs w:val="24"/>
        </w:rPr>
        <w:t xml:space="preserve"> </w:t>
      </w:r>
      <w:r w:rsidR="00FD7C28">
        <w:rPr>
          <w:rFonts w:ascii="Century Gothic" w:hAnsi="Century Gothic"/>
          <w:sz w:val="24"/>
          <w:szCs w:val="24"/>
        </w:rPr>
        <w:t>not two years</w:t>
      </w:r>
      <w:r w:rsidR="0086562E">
        <w:rPr>
          <w:rFonts w:ascii="Century Gothic" w:hAnsi="Century Gothic"/>
          <w:sz w:val="24"/>
          <w:szCs w:val="24"/>
        </w:rPr>
        <w:t>. Thus,</w:t>
      </w:r>
      <w:r w:rsidR="00FD7C28">
        <w:rPr>
          <w:rFonts w:ascii="Century Gothic" w:hAnsi="Century Gothic"/>
          <w:sz w:val="24"/>
          <w:szCs w:val="24"/>
        </w:rPr>
        <w:t xml:space="preserve"> the provision in question did not create a situation of equalizing the position of adoptive parents with that of birth parents. Secondly, there was no explanation from the Minister as to</w:t>
      </w:r>
      <w:r>
        <w:rPr>
          <w:rFonts w:ascii="Century Gothic" w:hAnsi="Century Gothic"/>
          <w:sz w:val="24"/>
          <w:szCs w:val="24"/>
        </w:rPr>
        <w:t xml:space="preserve"> why the cap had been set at </w:t>
      </w:r>
      <w:r w:rsidR="00FD7C28">
        <w:rPr>
          <w:rFonts w:ascii="Century Gothic" w:hAnsi="Century Gothic"/>
          <w:sz w:val="24"/>
          <w:szCs w:val="24"/>
        </w:rPr>
        <w:t>two-year</w:t>
      </w:r>
      <w:r>
        <w:rPr>
          <w:rFonts w:ascii="Century Gothic" w:hAnsi="Century Gothic"/>
          <w:sz w:val="24"/>
          <w:szCs w:val="24"/>
        </w:rPr>
        <w:t xml:space="preserve"> of</w:t>
      </w:r>
      <w:r w:rsidR="00FD7C28">
        <w:rPr>
          <w:rFonts w:ascii="Century Gothic" w:hAnsi="Century Gothic"/>
          <w:sz w:val="24"/>
          <w:szCs w:val="24"/>
        </w:rPr>
        <w:t xml:space="preserve"> age</w:t>
      </w:r>
      <w:r>
        <w:rPr>
          <w:rFonts w:ascii="Century Gothic" w:hAnsi="Century Gothic"/>
          <w:sz w:val="24"/>
          <w:szCs w:val="24"/>
        </w:rPr>
        <w:t xml:space="preserve">, </w:t>
      </w:r>
      <w:r w:rsidR="0086562E">
        <w:rPr>
          <w:rFonts w:ascii="Century Gothic" w:hAnsi="Century Gothic"/>
          <w:sz w:val="24"/>
          <w:szCs w:val="24"/>
        </w:rPr>
        <w:t xml:space="preserve">or even </w:t>
      </w:r>
      <w:r>
        <w:rPr>
          <w:rFonts w:ascii="Century Gothic" w:hAnsi="Century Gothic"/>
          <w:sz w:val="24"/>
          <w:szCs w:val="24"/>
        </w:rPr>
        <w:t xml:space="preserve">why </w:t>
      </w:r>
      <w:r w:rsidR="00FD7C28">
        <w:rPr>
          <w:rFonts w:ascii="Century Gothic" w:hAnsi="Century Gothic"/>
          <w:sz w:val="24"/>
          <w:szCs w:val="24"/>
        </w:rPr>
        <w:t xml:space="preserve">it had been decided to base the cap on </w:t>
      </w:r>
      <w:r>
        <w:rPr>
          <w:rFonts w:ascii="Century Gothic" w:hAnsi="Century Gothic"/>
          <w:sz w:val="24"/>
          <w:szCs w:val="24"/>
        </w:rPr>
        <w:t>a</w:t>
      </w:r>
      <w:r w:rsidR="0086562E">
        <w:rPr>
          <w:rFonts w:ascii="Century Gothic" w:hAnsi="Century Gothic"/>
          <w:sz w:val="24"/>
          <w:szCs w:val="24"/>
        </w:rPr>
        <w:t xml:space="preserve">ge </w:t>
      </w:r>
      <w:r>
        <w:rPr>
          <w:rFonts w:ascii="Century Gothic" w:hAnsi="Century Gothic"/>
          <w:sz w:val="24"/>
          <w:szCs w:val="24"/>
        </w:rPr>
        <w:t xml:space="preserve">at all.  </w:t>
      </w:r>
      <w:r w:rsidR="0086562E">
        <w:rPr>
          <w:rFonts w:ascii="Century Gothic" w:hAnsi="Century Gothic"/>
          <w:sz w:val="24"/>
          <w:szCs w:val="24"/>
        </w:rPr>
        <w:t xml:space="preserve"> </w:t>
      </w:r>
    </w:p>
    <w:p w14:paraId="64582A59" w14:textId="77777777" w:rsidR="0089739B" w:rsidRDefault="0089739B" w:rsidP="00A11E77">
      <w:pPr>
        <w:spacing w:line="360" w:lineRule="auto"/>
        <w:contextualSpacing/>
        <w:rPr>
          <w:rFonts w:ascii="Century Gothic" w:hAnsi="Century Gothic"/>
          <w:sz w:val="24"/>
          <w:szCs w:val="24"/>
        </w:rPr>
      </w:pPr>
    </w:p>
    <w:p w14:paraId="0F225A71" w14:textId="219AB491" w:rsidR="0089739B" w:rsidRDefault="0089739B" w:rsidP="00A11E77">
      <w:pPr>
        <w:spacing w:line="360" w:lineRule="auto"/>
        <w:contextualSpacing/>
        <w:rPr>
          <w:rFonts w:ascii="Century Gothic" w:hAnsi="Century Gothic"/>
          <w:sz w:val="24"/>
          <w:szCs w:val="24"/>
        </w:rPr>
      </w:pPr>
      <w:r>
        <w:rPr>
          <w:rFonts w:ascii="Century Gothic" w:hAnsi="Century Gothic"/>
          <w:sz w:val="24"/>
          <w:szCs w:val="24"/>
        </w:rPr>
        <w:lastRenderedPageBreak/>
        <w:t xml:space="preserve">Furthermore, the provisions treated </w:t>
      </w:r>
      <w:r w:rsidR="0070376A">
        <w:rPr>
          <w:rFonts w:ascii="Century Gothic" w:hAnsi="Century Gothic"/>
          <w:sz w:val="24"/>
          <w:szCs w:val="24"/>
        </w:rPr>
        <w:t>prospective</w:t>
      </w:r>
      <w:r>
        <w:rPr>
          <w:rFonts w:ascii="Century Gothic" w:hAnsi="Century Gothic"/>
          <w:sz w:val="24"/>
          <w:szCs w:val="24"/>
        </w:rPr>
        <w:t xml:space="preserve"> adoptive children older than two </w:t>
      </w:r>
      <w:r w:rsidR="0086562E">
        <w:rPr>
          <w:rFonts w:ascii="Century Gothic" w:hAnsi="Century Gothic"/>
          <w:sz w:val="24"/>
          <w:szCs w:val="24"/>
        </w:rPr>
        <w:t xml:space="preserve">years </w:t>
      </w:r>
      <w:r>
        <w:rPr>
          <w:rFonts w:ascii="Century Gothic" w:hAnsi="Century Gothic"/>
          <w:sz w:val="24"/>
          <w:szCs w:val="24"/>
        </w:rPr>
        <w:t xml:space="preserve">differently to those under two, creating discriminatory effect that was based on age. Age was a listed ground in sections 9(3) and (4) and thus the onus was thus on the Minister to show that the age cap was </w:t>
      </w:r>
      <w:r w:rsidR="0070376A">
        <w:rPr>
          <w:rFonts w:ascii="Century Gothic" w:hAnsi="Century Gothic"/>
          <w:sz w:val="24"/>
          <w:szCs w:val="24"/>
        </w:rPr>
        <w:t>justifiable</w:t>
      </w:r>
      <w:r>
        <w:rPr>
          <w:rFonts w:ascii="Century Gothic" w:hAnsi="Century Gothic"/>
          <w:sz w:val="24"/>
          <w:szCs w:val="24"/>
        </w:rPr>
        <w:t xml:space="preserve"> under section 36. </w:t>
      </w:r>
    </w:p>
    <w:p w14:paraId="08ED09DE" w14:textId="5CA39742" w:rsidR="0070376A" w:rsidRDefault="0070376A" w:rsidP="00A11E77">
      <w:pPr>
        <w:spacing w:line="360" w:lineRule="auto"/>
        <w:contextualSpacing/>
        <w:rPr>
          <w:rFonts w:ascii="Century Gothic" w:hAnsi="Century Gothic"/>
          <w:sz w:val="24"/>
          <w:szCs w:val="24"/>
        </w:rPr>
      </w:pPr>
    </w:p>
    <w:p w14:paraId="7EF083E7" w14:textId="6E24A6B5" w:rsidR="0070376A" w:rsidRDefault="0070376A" w:rsidP="00A11E77">
      <w:pPr>
        <w:spacing w:line="360" w:lineRule="auto"/>
        <w:contextualSpacing/>
        <w:rPr>
          <w:rFonts w:ascii="Century Gothic" w:hAnsi="Century Gothic"/>
          <w:sz w:val="24"/>
          <w:szCs w:val="24"/>
        </w:rPr>
      </w:pPr>
      <w:r>
        <w:rPr>
          <w:rFonts w:ascii="Century Gothic" w:hAnsi="Century Gothic"/>
          <w:sz w:val="24"/>
          <w:szCs w:val="24"/>
        </w:rPr>
        <w:t xml:space="preserve">The court accepted that the primary focus of the parental leave regime was nurturing of </w:t>
      </w:r>
      <w:r w:rsidR="0086562E">
        <w:rPr>
          <w:rFonts w:ascii="Century Gothic" w:hAnsi="Century Gothic"/>
          <w:sz w:val="24"/>
          <w:szCs w:val="24"/>
        </w:rPr>
        <w:t xml:space="preserve">the </w:t>
      </w:r>
      <w:r>
        <w:rPr>
          <w:rFonts w:ascii="Century Gothic" w:hAnsi="Century Gothic"/>
          <w:sz w:val="24"/>
          <w:szCs w:val="24"/>
        </w:rPr>
        <w:t xml:space="preserve">child, whether born to biological parents or acquired through adoption. However, the nurturing relationship was a symbiotic one, in that </w:t>
      </w:r>
      <w:r w:rsidR="0086562E">
        <w:rPr>
          <w:rFonts w:ascii="Century Gothic" w:hAnsi="Century Gothic"/>
          <w:sz w:val="24"/>
          <w:szCs w:val="24"/>
        </w:rPr>
        <w:t>for</w:t>
      </w:r>
      <w:r>
        <w:rPr>
          <w:rFonts w:ascii="Century Gothic" w:hAnsi="Century Gothic"/>
          <w:sz w:val="24"/>
          <w:szCs w:val="24"/>
        </w:rPr>
        <w:t xml:space="preserve"> </w:t>
      </w:r>
      <w:r w:rsidR="00AE7AE7">
        <w:rPr>
          <w:rFonts w:ascii="Century Gothic" w:hAnsi="Century Gothic"/>
          <w:sz w:val="24"/>
          <w:szCs w:val="24"/>
        </w:rPr>
        <w:t xml:space="preserve">a </w:t>
      </w:r>
      <w:r>
        <w:rPr>
          <w:rFonts w:ascii="Century Gothic" w:hAnsi="Century Gothic"/>
          <w:sz w:val="24"/>
          <w:szCs w:val="24"/>
        </w:rPr>
        <w:t>child to receive such nurturing, the</w:t>
      </w:r>
      <w:r w:rsidR="00AE7AE7">
        <w:rPr>
          <w:rFonts w:ascii="Century Gothic" w:hAnsi="Century Gothic"/>
          <w:sz w:val="24"/>
          <w:szCs w:val="24"/>
        </w:rPr>
        <w:t>ir</w:t>
      </w:r>
      <w:r>
        <w:rPr>
          <w:rFonts w:ascii="Century Gothic" w:hAnsi="Century Gothic"/>
          <w:sz w:val="24"/>
          <w:szCs w:val="24"/>
        </w:rPr>
        <w:t xml:space="preserve"> parents must be able to give that nurturing. The parental leave regime in the BCEA </w:t>
      </w:r>
      <w:r w:rsidR="0086562E">
        <w:rPr>
          <w:rFonts w:ascii="Century Gothic" w:hAnsi="Century Gothic"/>
          <w:sz w:val="24"/>
          <w:szCs w:val="24"/>
        </w:rPr>
        <w:t xml:space="preserve">was </w:t>
      </w:r>
      <w:proofErr w:type="spellStart"/>
      <w:r>
        <w:rPr>
          <w:rFonts w:ascii="Century Gothic" w:hAnsi="Century Gothic"/>
          <w:sz w:val="24"/>
          <w:szCs w:val="24"/>
        </w:rPr>
        <w:t>centred</w:t>
      </w:r>
      <w:proofErr w:type="spellEnd"/>
      <w:r>
        <w:rPr>
          <w:rFonts w:ascii="Century Gothic" w:hAnsi="Century Gothic"/>
          <w:sz w:val="24"/>
          <w:szCs w:val="24"/>
        </w:rPr>
        <w:t xml:space="preserve"> </w:t>
      </w:r>
      <w:r w:rsidR="0086562E">
        <w:rPr>
          <w:rFonts w:ascii="Century Gothic" w:hAnsi="Century Gothic"/>
          <w:sz w:val="24"/>
          <w:szCs w:val="24"/>
        </w:rPr>
        <w:t>on</w:t>
      </w:r>
      <w:r>
        <w:rPr>
          <w:rFonts w:ascii="Century Gothic" w:hAnsi="Century Gothic"/>
          <w:sz w:val="24"/>
          <w:szCs w:val="24"/>
        </w:rPr>
        <w:t xml:space="preserve"> this. While the court accepted that there had to be parameters set around adoptive </w:t>
      </w:r>
      <w:r w:rsidR="0086562E">
        <w:rPr>
          <w:rFonts w:ascii="Century Gothic" w:hAnsi="Century Gothic"/>
          <w:sz w:val="24"/>
          <w:szCs w:val="24"/>
        </w:rPr>
        <w:t>leave</w:t>
      </w:r>
      <w:r>
        <w:rPr>
          <w:rFonts w:ascii="Century Gothic" w:hAnsi="Century Gothic"/>
          <w:sz w:val="24"/>
          <w:szCs w:val="24"/>
        </w:rPr>
        <w:t xml:space="preserve">, there was no explanation from the Minister as to why the parameter that had been set was based on the child’s age, rather than </w:t>
      </w:r>
      <w:r w:rsidR="0086562E">
        <w:rPr>
          <w:rFonts w:ascii="Century Gothic" w:hAnsi="Century Gothic"/>
          <w:sz w:val="24"/>
          <w:szCs w:val="24"/>
        </w:rPr>
        <w:t xml:space="preserve">on </w:t>
      </w:r>
      <w:r>
        <w:rPr>
          <w:rFonts w:ascii="Century Gothic" w:hAnsi="Century Gothic"/>
          <w:sz w:val="24"/>
          <w:szCs w:val="24"/>
        </w:rPr>
        <w:t>something else. Parental leave was not solely about meeting the child’s need</w:t>
      </w:r>
      <w:r w:rsidR="0086562E">
        <w:rPr>
          <w:rFonts w:ascii="Century Gothic" w:hAnsi="Century Gothic"/>
          <w:sz w:val="24"/>
          <w:szCs w:val="24"/>
        </w:rPr>
        <w:t xml:space="preserve"> for </w:t>
      </w:r>
      <w:r>
        <w:rPr>
          <w:rFonts w:ascii="Century Gothic" w:hAnsi="Century Gothic"/>
          <w:sz w:val="24"/>
          <w:szCs w:val="24"/>
        </w:rPr>
        <w:t xml:space="preserve">nurturing, </w:t>
      </w:r>
      <w:r w:rsidR="0086562E">
        <w:rPr>
          <w:rFonts w:ascii="Century Gothic" w:hAnsi="Century Gothic"/>
          <w:sz w:val="24"/>
          <w:szCs w:val="24"/>
        </w:rPr>
        <w:t xml:space="preserve">it </w:t>
      </w:r>
      <w:r w:rsidR="00AE7AE7">
        <w:rPr>
          <w:rFonts w:ascii="Century Gothic" w:hAnsi="Century Gothic"/>
          <w:sz w:val="24"/>
          <w:szCs w:val="24"/>
        </w:rPr>
        <w:t xml:space="preserve">was </w:t>
      </w:r>
      <w:r w:rsidR="0086562E">
        <w:rPr>
          <w:rFonts w:ascii="Century Gothic" w:hAnsi="Century Gothic"/>
          <w:sz w:val="24"/>
          <w:szCs w:val="24"/>
        </w:rPr>
        <w:t xml:space="preserve">also </w:t>
      </w:r>
      <w:r>
        <w:rPr>
          <w:rFonts w:ascii="Century Gothic" w:hAnsi="Century Gothic"/>
          <w:sz w:val="24"/>
          <w:szCs w:val="24"/>
        </w:rPr>
        <w:t xml:space="preserve">to allow children of different ages to </w:t>
      </w:r>
      <w:r w:rsidR="0086562E">
        <w:rPr>
          <w:rFonts w:ascii="Century Gothic" w:hAnsi="Century Gothic"/>
          <w:sz w:val="24"/>
          <w:szCs w:val="24"/>
        </w:rPr>
        <w:t xml:space="preserve">integrate and adapt to their new family environments. The unfair discrimination underpinning the two-year cap could therefore not be justified and was thus unconstitutional. </w:t>
      </w:r>
    </w:p>
    <w:p w14:paraId="55344E2A" w14:textId="77777777" w:rsidR="001E4996" w:rsidRDefault="001E4996" w:rsidP="00A11E77">
      <w:pPr>
        <w:spacing w:line="360" w:lineRule="auto"/>
        <w:contextualSpacing/>
        <w:rPr>
          <w:rFonts w:ascii="Century Gothic" w:hAnsi="Century Gothic"/>
          <w:b/>
          <w:bCs/>
          <w:sz w:val="24"/>
          <w:szCs w:val="24"/>
        </w:rPr>
      </w:pPr>
    </w:p>
    <w:p w14:paraId="15FC1DDA" w14:textId="77DE1996" w:rsidR="0070376A" w:rsidRPr="00AE7AE7" w:rsidRDefault="0086562E" w:rsidP="00AE7AE7">
      <w:pPr>
        <w:pStyle w:val="ListParagraph"/>
        <w:numPr>
          <w:ilvl w:val="0"/>
          <w:numId w:val="1"/>
        </w:numPr>
        <w:spacing w:line="360" w:lineRule="auto"/>
        <w:ind w:hanging="720"/>
        <w:rPr>
          <w:rFonts w:ascii="Century Gothic" w:hAnsi="Century Gothic"/>
          <w:b/>
          <w:bCs/>
          <w:sz w:val="24"/>
          <w:szCs w:val="24"/>
        </w:rPr>
      </w:pPr>
      <w:r w:rsidRPr="00AE7AE7">
        <w:rPr>
          <w:rFonts w:ascii="Century Gothic" w:hAnsi="Century Gothic"/>
          <w:b/>
          <w:bCs/>
          <w:sz w:val="24"/>
          <w:szCs w:val="24"/>
        </w:rPr>
        <w:t>Remedy</w:t>
      </w:r>
    </w:p>
    <w:p w14:paraId="6F688A6E" w14:textId="77777777" w:rsidR="0086562E" w:rsidRDefault="0086562E" w:rsidP="00A11E77">
      <w:pPr>
        <w:spacing w:line="360" w:lineRule="auto"/>
        <w:contextualSpacing/>
        <w:rPr>
          <w:rFonts w:ascii="Century Gothic" w:hAnsi="Century Gothic"/>
          <w:sz w:val="24"/>
          <w:szCs w:val="24"/>
        </w:rPr>
      </w:pPr>
    </w:p>
    <w:p w14:paraId="3EC8AEE3" w14:textId="77777777" w:rsidR="00AE7AE7" w:rsidRDefault="0086562E" w:rsidP="00A11E77">
      <w:pPr>
        <w:spacing w:line="360" w:lineRule="auto"/>
        <w:contextualSpacing/>
        <w:rPr>
          <w:rFonts w:ascii="Century Gothic" w:hAnsi="Century Gothic"/>
          <w:sz w:val="24"/>
          <w:szCs w:val="24"/>
        </w:rPr>
      </w:pPr>
      <w:r>
        <w:rPr>
          <w:rFonts w:ascii="Century Gothic" w:hAnsi="Century Gothic"/>
          <w:sz w:val="24"/>
          <w:szCs w:val="24"/>
        </w:rPr>
        <w:t>In determining an appropriate remedy, and how to apportion the four months’ leave amongst the parents, the court agreed with the Commission’s stance that the four months</w:t>
      </w:r>
      <w:r w:rsidR="001E4996">
        <w:rPr>
          <w:rFonts w:ascii="Century Gothic" w:hAnsi="Century Gothic"/>
          <w:sz w:val="24"/>
          <w:szCs w:val="24"/>
        </w:rPr>
        <w:t>’</w:t>
      </w:r>
      <w:r>
        <w:rPr>
          <w:rFonts w:ascii="Century Gothic" w:hAnsi="Century Gothic"/>
          <w:sz w:val="24"/>
          <w:szCs w:val="24"/>
        </w:rPr>
        <w:t xml:space="preserve"> period </w:t>
      </w:r>
      <w:r w:rsidR="001E4996">
        <w:rPr>
          <w:rFonts w:ascii="Century Gothic" w:hAnsi="Century Gothic"/>
          <w:sz w:val="24"/>
          <w:szCs w:val="24"/>
        </w:rPr>
        <w:t>should</w:t>
      </w:r>
      <w:r>
        <w:rPr>
          <w:rFonts w:ascii="Century Gothic" w:hAnsi="Century Gothic"/>
          <w:sz w:val="24"/>
          <w:szCs w:val="24"/>
        </w:rPr>
        <w:t xml:space="preserve"> be allocated to both parents collectively. </w:t>
      </w:r>
    </w:p>
    <w:p w14:paraId="358CEC59" w14:textId="77777777" w:rsidR="00AE7AE7" w:rsidRDefault="00AE7AE7" w:rsidP="00A11E77">
      <w:pPr>
        <w:spacing w:line="360" w:lineRule="auto"/>
        <w:contextualSpacing/>
        <w:rPr>
          <w:rFonts w:ascii="Century Gothic" w:hAnsi="Century Gothic"/>
          <w:sz w:val="24"/>
          <w:szCs w:val="24"/>
        </w:rPr>
      </w:pPr>
    </w:p>
    <w:p w14:paraId="4C111647" w14:textId="12E75027" w:rsidR="001E4996" w:rsidRDefault="0086562E" w:rsidP="00A11E77">
      <w:pPr>
        <w:spacing w:line="360" w:lineRule="auto"/>
        <w:contextualSpacing/>
        <w:rPr>
          <w:rFonts w:ascii="Century Gothic" w:hAnsi="Century Gothic"/>
          <w:sz w:val="24"/>
          <w:szCs w:val="24"/>
        </w:rPr>
      </w:pPr>
      <w:r>
        <w:rPr>
          <w:rFonts w:ascii="Century Gothic" w:hAnsi="Century Gothic"/>
          <w:sz w:val="24"/>
          <w:szCs w:val="24"/>
        </w:rPr>
        <w:t xml:space="preserve">However, </w:t>
      </w:r>
      <w:r w:rsidR="001E4996">
        <w:rPr>
          <w:rFonts w:ascii="Century Gothic" w:hAnsi="Century Gothic"/>
          <w:sz w:val="24"/>
          <w:szCs w:val="24"/>
        </w:rPr>
        <w:t xml:space="preserve">the court elected to nevertheless </w:t>
      </w:r>
      <w:proofErr w:type="spellStart"/>
      <w:r w:rsidR="001E4996">
        <w:rPr>
          <w:rFonts w:ascii="Century Gothic" w:hAnsi="Century Gothic"/>
          <w:sz w:val="24"/>
          <w:szCs w:val="24"/>
        </w:rPr>
        <w:t>prioritise</w:t>
      </w:r>
      <w:proofErr w:type="spellEnd"/>
      <w:r w:rsidR="001E4996">
        <w:rPr>
          <w:rFonts w:ascii="Century Gothic" w:hAnsi="Century Gothic"/>
          <w:sz w:val="24"/>
          <w:szCs w:val="24"/>
        </w:rPr>
        <w:t xml:space="preserve"> a birth mother’s need to prepare for, and recover from, the physical birth. Thus, the leave period provided for this under other provisions of the BCEA must be included in the </w:t>
      </w:r>
      <w:r w:rsidR="00AE7AE7">
        <w:rPr>
          <w:rFonts w:ascii="Century Gothic" w:hAnsi="Century Gothic"/>
          <w:sz w:val="24"/>
          <w:szCs w:val="24"/>
        </w:rPr>
        <w:t>four-</w:t>
      </w:r>
      <w:r w:rsidR="00AE7AE7">
        <w:rPr>
          <w:rFonts w:ascii="Century Gothic" w:hAnsi="Century Gothic"/>
          <w:sz w:val="24"/>
          <w:szCs w:val="24"/>
        </w:rPr>
        <w:lastRenderedPageBreak/>
        <w:t>month</w:t>
      </w:r>
      <w:r w:rsidR="001E4996">
        <w:rPr>
          <w:rFonts w:ascii="Century Gothic" w:hAnsi="Century Gothic"/>
          <w:sz w:val="24"/>
          <w:szCs w:val="24"/>
        </w:rPr>
        <w:t xml:space="preserve"> period. Whatever remained </w:t>
      </w:r>
      <w:proofErr w:type="gramStart"/>
      <w:r w:rsidR="001E4996">
        <w:rPr>
          <w:rFonts w:ascii="Century Gothic" w:hAnsi="Century Gothic"/>
          <w:sz w:val="24"/>
          <w:szCs w:val="24"/>
        </w:rPr>
        <w:t>over,</w:t>
      </w:r>
      <w:proofErr w:type="gramEnd"/>
      <w:r w:rsidR="001E4996">
        <w:rPr>
          <w:rFonts w:ascii="Century Gothic" w:hAnsi="Century Gothic"/>
          <w:sz w:val="24"/>
          <w:szCs w:val="24"/>
        </w:rPr>
        <w:t xml:space="preserve"> could be shared between the birth mother and father as they deemed appropriate. In all other instances the </w:t>
      </w:r>
      <w:r w:rsidR="00AE7AE7">
        <w:rPr>
          <w:rFonts w:ascii="Century Gothic" w:hAnsi="Century Gothic"/>
          <w:sz w:val="24"/>
          <w:szCs w:val="24"/>
        </w:rPr>
        <w:t>four-month</w:t>
      </w:r>
      <w:r w:rsidR="001E4996">
        <w:rPr>
          <w:rFonts w:ascii="Century Gothic" w:hAnsi="Century Gothic"/>
          <w:sz w:val="24"/>
          <w:szCs w:val="24"/>
        </w:rPr>
        <w:t xml:space="preserve"> </w:t>
      </w:r>
      <w:r w:rsidR="00AE7AE7">
        <w:rPr>
          <w:rFonts w:ascii="Century Gothic" w:hAnsi="Century Gothic"/>
          <w:sz w:val="24"/>
          <w:szCs w:val="24"/>
        </w:rPr>
        <w:t xml:space="preserve">period </w:t>
      </w:r>
      <w:r w:rsidR="001E4996">
        <w:rPr>
          <w:rFonts w:ascii="Century Gothic" w:hAnsi="Century Gothic"/>
          <w:sz w:val="24"/>
          <w:szCs w:val="24"/>
        </w:rPr>
        <w:t xml:space="preserve">was to be shared between the parents as they sought best. </w:t>
      </w:r>
      <w:r w:rsidR="00AE7AE7">
        <w:rPr>
          <w:rFonts w:ascii="Century Gothic" w:hAnsi="Century Gothic"/>
          <w:sz w:val="24"/>
          <w:szCs w:val="24"/>
        </w:rPr>
        <w:t xml:space="preserve">Where the parents could not agree on how to apportion the leave, it was to be divided as equally as possible between them. </w:t>
      </w:r>
    </w:p>
    <w:p w14:paraId="41165EF2" w14:textId="77777777" w:rsidR="0070376A" w:rsidRPr="00A11E77" w:rsidRDefault="0070376A" w:rsidP="00A11E77">
      <w:pPr>
        <w:spacing w:line="360" w:lineRule="auto"/>
        <w:contextualSpacing/>
        <w:rPr>
          <w:sz w:val="24"/>
          <w:szCs w:val="24"/>
        </w:rPr>
      </w:pPr>
    </w:p>
    <w:sectPr w:rsidR="0070376A" w:rsidRPr="00A11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27702"/>
    <w:multiLevelType w:val="hybridMultilevel"/>
    <w:tmpl w:val="ADA87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99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67"/>
    <w:rsid w:val="001E4996"/>
    <w:rsid w:val="003E49FD"/>
    <w:rsid w:val="0042317D"/>
    <w:rsid w:val="0070376A"/>
    <w:rsid w:val="0086562E"/>
    <w:rsid w:val="00876091"/>
    <w:rsid w:val="0089739B"/>
    <w:rsid w:val="009A511F"/>
    <w:rsid w:val="00A11E77"/>
    <w:rsid w:val="00AE7AE7"/>
    <w:rsid w:val="00C91167"/>
    <w:rsid w:val="00F27D58"/>
    <w:rsid w:val="00FD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27B1"/>
  <w15:chartTrackingRefBased/>
  <w15:docId w15:val="{DDFFCE2A-3C84-480D-A20F-818DF2F1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167"/>
    <w:rPr>
      <w:rFonts w:eastAsiaTheme="majorEastAsia" w:cstheme="majorBidi"/>
      <w:color w:val="272727" w:themeColor="text1" w:themeTint="D8"/>
    </w:rPr>
  </w:style>
  <w:style w:type="paragraph" w:styleId="Title">
    <w:name w:val="Title"/>
    <w:basedOn w:val="Normal"/>
    <w:next w:val="Normal"/>
    <w:link w:val="TitleChar"/>
    <w:uiPriority w:val="10"/>
    <w:qFormat/>
    <w:rsid w:val="00C91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167"/>
    <w:pPr>
      <w:spacing w:before="160"/>
      <w:jc w:val="center"/>
    </w:pPr>
    <w:rPr>
      <w:i/>
      <w:iCs/>
      <w:color w:val="404040" w:themeColor="text1" w:themeTint="BF"/>
    </w:rPr>
  </w:style>
  <w:style w:type="character" w:customStyle="1" w:styleId="QuoteChar">
    <w:name w:val="Quote Char"/>
    <w:basedOn w:val="DefaultParagraphFont"/>
    <w:link w:val="Quote"/>
    <w:uiPriority w:val="29"/>
    <w:rsid w:val="00C91167"/>
    <w:rPr>
      <w:i/>
      <w:iCs/>
      <w:color w:val="404040" w:themeColor="text1" w:themeTint="BF"/>
    </w:rPr>
  </w:style>
  <w:style w:type="paragraph" w:styleId="ListParagraph">
    <w:name w:val="List Paragraph"/>
    <w:basedOn w:val="Normal"/>
    <w:uiPriority w:val="34"/>
    <w:qFormat/>
    <w:rsid w:val="00C91167"/>
    <w:pPr>
      <w:ind w:left="720"/>
      <w:contextualSpacing/>
    </w:pPr>
  </w:style>
  <w:style w:type="character" w:styleId="IntenseEmphasis">
    <w:name w:val="Intense Emphasis"/>
    <w:basedOn w:val="DefaultParagraphFont"/>
    <w:uiPriority w:val="21"/>
    <w:qFormat/>
    <w:rsid w:val="00C91167"/>
    <w:rPr>
      <w:i/>
      <w:iCs/>
      <w:color w:val="0F4761" w:themeColor="accent1" w:themeShade="BF"/>
    </w:rPr>
  </w:style>
  <w:style w:type="paragraph" w:styleId="IntenseQuote">
    <w:name w:val="Intense Quote"/>
    <w:basedOn w:val="Normal"/>
    <w:next w:val="Normal"/>
    <w:link w:val="IntenseQuoteChar"/>
    <w:uiPriority w:val="30"/>
    <w:qFormat/>
    <w:rsid w:val="00C91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167"/>
    <w:rPr>
      <w:i/>
      <w:iCs/>
      <w:color w:val="0F4761" w:themeColor="accent1" w:themeShade="BF"/>
    </w:rPr>
  </w:style>
  <w:style w:type="character" w:styleId="IntenseReference">
    <w:name w:val="Intense Reference"/>
    <w:basedOn w:val="DefaultParagraphFont"/>
    <w:uiPriority w:val="32"/>
    <w:qFormat/>
    <w:rsid w:val="00C911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6</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BJ. Swanepoel</dc:creator>
  <cp:keywords/>
  <dc:description/>
  <cp:lastModifiedBy>Bradley BJ. Swanepoel</cp:lastModifiedBy>
  <cp:revision>1</cp:revision>
  <dcterms:created xsi:type="dcterms:W3CDTF">2025-10-03T09:12:00Z</dcterms:created>
  <dcterms:modified xsi:type="dcterms:W3CDTF">2025-10-03T13:23:00Z</dcterms:modified>
</cp:coreProperties>
</file>